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C62031" w14:textId="7A39025E" w:rsidR="0047408E" w:rsidRPr="00D46A4D" w:rsidRDefault="00663380" w:rsidP="00D00B9F">
      <w:pPr>
        <w:pStyle w:val="Header"/>
        <w:tabs>
          <w:tab w:val="right" w:pos="10466"/>
        </w:tabs>
        <w:overflowPunct w:val="0"/>
        <w:autoSpaceDE w:val="0"/>
        <w:autoSpaceDN w:val="0"/>
        <w:adjustRightInd w:val="0"/>
        <w:textAlignment w:val="baseline"/>
        <w:rPr>
          <w:rFonts w:ascii="Times New Roman" w:hAnsi="Times New Roman"/>
          <w:b w:val="0"/>
          <w:bCs/>
          <w:sz w:val="24"/>
          <w:szCs w:val="24"/>
          <w:lang w:eastAsia="ja-JP"/>
        </w:rPr>
      </w:pPr>
      <w:r>
        <w:rPr>
          <w:rFonts w:ascii="Times New Roman" w:hAnsi="Times New Roman"/>
          <w:bCs/>
          <w:sz w:val="24"/>
          <w:szCs w:val="24"/>
          <w:lang w:eastAsia="ja-JP"/>
        </w:rPr>
        <w:t>3GPP TSG-RAN WG2 Meeting #111</w:t>
      </w:r>
      <w:r w:rsidR="00EC6925">
        <w:rPr>
          <w:rFonts w:ascii="Times New Roman" w:hAnsi="Times New Roman"/>
          <w:bCs/>
          <w:sz w:val="24"/>
          <w:szCs w:val="24"/>
          <w:lang w:eastAsia="ja-JP"/>
        </w:rPr>
        <w:t>-e</w:t>
      </w:r>
      <w:r w:rsidR="0047408E" w:rsidRPr="00D46A4D">
        <w:rPr>
          <w:rFonts w:ascii="Times New Roman" w:hAnsi="Times New Roman"/>
          <w:bCs/>
          <w:sz w:val="24"/>
          <w:szCs w:val="24"/>
          <w:lang w:eastAsia="ja-JP"/>
        </w:rPr>
        <w:tab/>
      </w:r>
      <w:r w:rsidR="00B166DB" w:rsidRPr="00D46A4D">
        <w:rPr>
          <w:rFonts w:ascii="Times New Roman" w:hAnsi="Times New Roman"/>
          <w:bCs/>
          <w:sz w:val="24"/>
          <w:szCs w:val="24"/>
          <w:lang w:eastAsia="ja-JP"/>
        </w:rPr>
        <w:t>R2-</w:t>
      </w:r>
      <w:r w:rsidR="00007B50" w:rsidRPr="00007B50">
        <w:rPr>
          <w:rFonts w:ascii="Times New Roman" w:hAnsi="Times New Roman"/>
          <w:bCs/>
          <w:sz w:val="24"/>
          <w:szCs w:val="24"/>
          <w:lang w:eastAsia="ja-JP"/>
        </w:rPr>
        <w:t>2007494</w:t>
      </w:r>
    </w:p>
    <w:p w14:paraId="29CDF947" w14:textId="6DDAEF19" w:rsidR="0047408E" w:rsidRPr="00D46A4D" w:rsidRDefault="00663380" w:rsidP="00B85B89">
      <w:pPr>
        <w:pStyle w:val="Header"/>
        <w:tabs>
          <w:tab w:val="right" w:pos="10466"/>
        </w:tabs>
        <w:overflowPunct w:val="0"/>
        <w:autoSpaceDE w:val="0"/>
        <w:autoSpaceDN w:val="0"/>
        <w:adjustRightInd w:val="0"/>
        <w:textAlignment w:val="baseline"/>
        <w:rPr>
          <w:rFonts w:ascii="Times New Roman" w:hAnsi="Times New Roman"/>
          <w:bCs/>
          <w:sz w:val="24"/>
          <w:szCs w:val="24"/>
          <w:lang w:eastAsia="ja-JP"/>
        </w:rPr>
      </w:pPr>
      <w:r>
        <w:rPr>
          <w:rFonts w:ascii="Times New Roman" w:hAnsi="Times New Roman"/>
          <w:bCs/>
          <w:sz w:val="24"/>
          <w:szCs w:val="24"/>
          <w:lang w:eastAsia="ja-JP"/>
        </w:rPr>
        <w:t>Online</w:t>
      </w:r>
      <w:r w:rsidR="00EC6925" w:rsidRPr="007003A2">
        <w:rPr>
          <w:rFonts w:ascii="Times New Roman" w:hAnsi="Times New Roman"/>
          <w:bCs/>
          <w:sz w:val="24"/>
          <w:szCs w:val="24"/>
          <w:lang w:eastAsia="ja-JP"/>
        </w:rPr>
        <w:t xml:space="preserve">, </w:t>
      </w:r>
      <w:r w:rsidRPr="00663380">
        <w:rPr>
          <w:rFonts w:ascii="Times New Roman" w:hAnsi="Times New Roman"/>
          <w:bCs/>
          <w:sz w:val="24"/>
          <w:szCs w:val="24"/>
          <w:lang w:eastAsia="ja-JP"/>
        </w:rPr>
        <w:t>August 17th - 28th, 2020</w:t>
      </w:r>
      <w:r w:rsidR="00B55AED" w:rsidRPr="00D46A4D">
        <w:rPr>
          <w:rFonts w:ascii="Times New Roman" w:hAnsi="Times New Roman"/>
          <w:bCs/>
          <w:sz w:val="24"/>
          <w:szCs w:val="24"/>
          <w:lang w:eastAsia="ja-JP"/>
        </w:rPr>
        <w:tab/>
      </w:r>
    </w:p>
    <w:p w14:paraId="5DE0EDD6" w14:textId="77777777" w:rsidR="0047408E" w:rsidRPr="00D46A4D" w:rsidRDefault="0047408E" w:rsidP="0047408E">
      <w:pPr>
        <w:pStyle w:val="Header"/>
        <w:tabs>
          <w:tab w:val="right" w:pos="9639"/>
        </w:tabs>
        <w:overflowPunct w:val="0"/>
        <w:autoSpaceDE w:val="0"/>
        <w:autoSpaceDN w:val="0"/>
        <w:adjustRightInd w:val="0"/>
        <w:textAlignment w:val="baseline"/>
        <w:rPr>
          <w:rFonts w:ascii="Times New Roman" w:hAnsi="Times New Roman"/>
          <w:b w:val="0"/>
          <w:bCs/>
          <w:sz w:val="24"/>
          <w:szCs w:val="24"/>
          <w:lang w:eastAsia="ja-JP"/>
        </w:rPr>
      </w:pPr>
    </w:p>
    <w:p w14:paraId="19110ACE" w14:textId="7F4EF314" w:rsidR="0047408E" w:rsidRPr="00D46A4D" w:rsidRDefault="00131BAF" w:rsidP="0047408E">
      <w:pPr>
        <w:pStyle w:val="CRCoverPage"/>
        <w:ind w:left="1988" w:hanging="1988"/>
        <w:rPr>
          <w:rFonts w:ascii="Times New Roman" w:hAnsi="Times New Roman"/>
          <w:b/>
          <w:noProof/>
          <w:sz w:val="24"/>
        </w:rPr>
      </w:pPr>
      <w:r>
        <w:rPr>
          <w:rFonts w:ascii="Times New Roman" w:hAnsi="Times New Roman"/>
          <w:b/>
          <w:noProof/>
          <w:sz w:val="24"/>
        </w:rPr>
        <w:t>Agenda Item:</w:t>
      </w:r>
      <w:r>
        <w:rPr>
          <w:rFonts w:ascii="Times New Roman" w:hAnsi="Times New Roman"/>
          <w:b/>
          <w:noProof/>
          <w:sz w:val="24"/>
        </w:rPr>
        <w:tab/>
      </w:r>
      <w:r w:rsidR="00FE68D7">
        <w:rPr>
          <w:rFonts w:ascii="Times New Roman" w:hAnsi="Times New Roman"/>
          <w:b/>
          <w:noProof/>
          <w:sz w:val="24"/>
        </w:rPr>
        <w:t>8.12.3</w:t>
      </w:r>
    </w:p>
    <w:p w14:paraId="3DD82F11" w14:textId="12D9A197" w:rsidR="0047408E" w:rsidRPr="00D46A4D" w:rsidRDefault="0047408E" w:rsidP="0047408E">
      <w:pPr>
        <w:pStyle w:val="CRCoverPage"/>
        <w:ind w:left="1988" w:hanging="1988"/>
        <w:rPr>
          <w:rFonts w:ascii="Times New Roman" w:hAnsi="Times New Roman"/>
          <w:b/>
          <w:noProof/>
          <w:sz w:val="24"/>
        </w:rPr>
      </w:pPr>
      <w:r w:rsidRPr="00D46A4D">
        <w:rPr>
          <w:rFonts w:ascii="Times New Roman" w:hAnsi="Times New Roman"/>
          <w:b/>
          <w:noProof/>
          <w:sz w:val="24"/>
        </w:rPr>
        <w:t>Souce:</w:t>
      </w:r>
      <w:r w:rsidRPr="00D46A4D">
        <w:rPr>
          <w:rFonts w:ascii="Times New Roman" w:hAnsi="Times New Roman"/>
          <w:b/>
          <w:noProof/>
          <w:sz w:val="24"/>
        </w:rPr>
        <w:tab/>
        <w:t>MediaTek Inc.</w:t>
      </w:r>
    </w:p>
    <w:p w14:paraId="29927BCA" w14:textId="10BBE3EC" w:rsidR="0047408E" w:rsidRPr="00D46A4D" w:rsidRDefault="0047408E" w:rsidP="0047408E">
      <w:pPr>
        <w:pStyle w:val="CRCoverPage"/>
        <w:ind w:left="1988" w:hanging="1988"/>
        <w:rPr>
          <w:rFonts w:ascii="Times New Roman" w:hAnsi="Times New Roman"/>
          <w:b/>
          <w:noProof/>
          <w:sz w:val="24"/>
        </w:rPr>
      </w:pPr>
      <w:bookmarkStart w:id="0" w:name="OLE_LINK1"/>
      <w:bookmarkStart w:id="1" w:name="OLE_LINK2"/>
      <w:r w:rsidRPr="00D46A4D">
        <w:rPr>
          <w:rFonts w:ascii="Times New Roman" w:hAnsi="Times New Roman"/>
          <w:b/>
          <w:noProof/>
          <w:sz w:val="24"/>
        </w:rPr>
        <w:t>Title:</w:t>
      </w:r>
      <w:r w:rsidRPr="00D46A4D">
        <w:rPr>
          <w:rFonts w:ascii="Times New Roman" w:hAnsi="Times New Roman"/>
          <w:b/>
          <w:noProof/>
          <w:sz w:val="24"/>
        </w:rPr>
        <w:tab/>
      </w:r>
      <w:r w:rsidR="00D901B5">
        <w:rPr>
          <w:rFonts w:ascii="Times New Roman" w:hAnsi="Times New Roman"/>
          <w:b/>
          <w:noProof/>
          <w:sz w:val="24"/>
        </w:rPr>
        <w:t>eDRX for reduced capability UEs</w:t>
      </w:r>
    </w:p>
    <w:p w14:paraId="73A3BB56" w14:textId="77777777" w:rsidR="0047408E" w:rsidRPr="00D46A4D" w:rsidRDefault="0047408E" w:rsidP="0047408E">
      <w:pPr>
        <w:pStyle w:val="CRCoverPage"/>
        <w:ind w:left="1988" w:hanging="1988"/>
        <w:rPr>
          <w:rFonts w:ascii="Times New Roman" w:hAnsi="Times New Roman"/>
          <w:b/>
          <w:noProof/>
          <w:sz w:val="24"/>
        </w:rPr>
      </w:pPr>
      <w:r w:rsidRPr="00D46A4D">
        <w:rPr>
          <w:rFonts w:ascii="Times New Roman" w:hAnsi="Times New Roman"/>
          <w:b/>
          <w:noProof/>
          <w:sz w:val="24"/>
        </w:rPr>
        <w:t>Document for:</w:t>
      </w:r>
      <w:r w:rsidRPr="00D46A4D">
        <w:rPr>
          <w:rFonts w:ascii="Times New Roman" w:hAnsi="Times New Roman"/>
          <w:b/>
          <w:noProof/>
          <w:sz w:val="24"/>
        </w:rPr>
        <w:tab/>
        <w:t>Discussion and decision</w:t>
      </w:r>
      <w:bookmarkEnd w:id="0"/>
      <w:bookmarkEnd w:id="1"/>
    </w:p>
    <w:p w14:paraId="608BDFC8" w14:textId="1A2F05DF" w:rsidR="00506F32" w:rsidRPr="00D46A4D" w:rsidRDefault="0047408E" w:rsidP="00B166DB">
      <w:pPr>
        <w:pStyle w:val="Heading1"/>
        <w:rPr>
          <w:rFonts w:ascii="Times New Roman" w:hAnsi="Times New Roman"/>
          <w:lang w:val="en-US" w:eastAsia="ko-KR"/>
        </w:rPr>
      </w:pPr>
      <w:r w:rsidRPr="00D46A4D">
        <w:rPr>
          <w:rFonts w:ascii="Times New Roman" w:hAnsi="Times New Roman"/>
          <w:lang w:val="en-US" w:eastAsia="ko-KR"/>
        </w:rPr>
        <w:t>1 Introduction</w:t>
      </w:r>
    </w:p>
    <w:p w14:paraId="3F7F68C8" w14:textId="48ABB24C" w:rsidR="00F423D5" w:rsidRDefault="00F53AAE" w:rsidP="00663380">
      <w:pPr>
        <w:spacing w:before="240"/>
      </w:pPr>
      <w:r>
        <w:t xml:space="preserve">The </w:t>
      </w:r>
      <w:r w:rsidRPr="00F53AAE">
        <w:t>SID on Support of Reduced Capability NR Devices</w:t>
      </w:r>
      <w:r>
        <w:t xml:space="preserve"> </w:t>
      </w:r>
      <w:r>
        <w:fldChar w:fldCharType="begin"/>
      </w:r>
      <w:r>
        <w:instrText xml:space="preserve"> REF _Ref47001309 \r \h </w:instrText>
      </w:r>
      <w:r>
        <w:fldChar w:fldCharType="separate"/>
      </w:r>
      <w:r>
        <w:t>[1]</w:t>
      </w:r>
      <w:r>
        <w:fldChar w:fldCharType="end"/>
      </w:r>
      <w:r>
        <w:t xml:space="preserve"> includes the following objectives on power saving</w:t>
      </w:r>
      <w:r w:rsidR="00FE68D7">
        <w:t>:</w:t>
      </w:r>
    </w:p>
    <w:tbl>
      <w:tblPr>
        <w:tblStyle w:val="TableGrid"/>
        <w:tblW w:w="0" w:type="auto"/>
        <w:tblLook w:val="04A0" w:firstRow="1" w:lastRow="0" w:firstColumn="1" w:lastColumn="0" w:noHBand="0" w:noVBand="1"/>
      </w:tblPr>
      <w:tblGrid>
        <w:gridCol w:w="10456"/>
      </w:tblGrid>
      <w:tr w:rsidR="00F53AAE" w14:paraId="6BD7CC54" w14:textId="77777777" w:rsidTr="00F53AAE">
        <w:tc>
          <w:tcPr>
            <w:tcW w:w="10456" w:type="dxa"/>
          </w:tcPr>
          <w:p w14:paraId="6B4691F8" w14:textId="77777777" w:rsidR="00F53AAE" w:rsidRPr="00DD4663" w:rsidRDefault="00F53AAE" w:rsidP="00F53AAE">
            <w:pPr>
              <w:ind w:left="360" w:right="-99"/>
              <w:rPr>
                <w:rFonts w:eastAsia="SimSun"/>
                <w:lang w:val="en-US" w:eastAsia="ja-JP"/>
              </w:rPr>
            </w:pPr>
            <w:r w:rsidRPr="000446D8">
              <w:rPr>
                <w:rFonts w:eastAsia="SimSun"/>
                <w:lang w:val="en-US" w:eastAsia="ja-JP"/>
              </w:rPr>
              <w:t xml:space="preserve">Study </w:t>
            </w:r>
            <w:r w:rsidRPr="007F1CF1">
              <w:rPr>
                <w:rFonts w:eastAsia="SimSun"/>
                <w:lang w:val="en-US" w:eastAsia="ja-JP"/>
              </w:rPr>
              <w:t>UE power saving and battery lifetime enh</w:t>
            </w:r>
            <w:r w:rsidRPr="00572D96">
              <w:rPr>
                <w:rFonts w:eastAsia="SimSun"/>
                <w:lang w:val="en-US" w:eastAsia="ja-JP"/>
              </w:rPr>
              <w:t xml:space="preserve">ancement for reduced </w:t>
            </w:r>
            <w:r>
              <w:rPr>
                <w:rFonts w:eastAsia="SimSun"/>
                <w:lang w:val="en-US" w:eastAsia="ja-JP"/>
              </w:rPr>
              <w:t>capability</w:t>
            </w:r>
            <w:r w:rsidRPr="00572D96">
              <w:rPr>
                <w:rFonts w:eastAsia="SimSun"/>
                <w:lang w:val="en-US" w:eastAsia="ja-JP"/>
              </w:rPr>
              <w:t xml:space="preserve"> UEs</w:t>
            </w:r>
            <w:r w:rsidRPr="00DF5B25">
              <w:rPr>
                <w:rFonts w:eastAsia="SimSun"/>
                <w:lang w:val="en-US" w:eastAsia="ja-JP"/>
              </w:rPr>
              <w:t xml:space="preserve"> </w:t>
            </w:r>
            <w:r>
              <w:rPr>
                <w:rFonts w:eastAsia="SimSun"/>
                <w:lang w:val="en-US" w:eastAsia="ja-JP"/>
              </w:rPr>
              <w:t xml:space="preserve">in </w:t>
            </w:r>
            <w:r w:rsidRPr="00DF5B25">
              <w:rPr>
                <w:rFonts w:eastAsia="SimSun"/>
                <w:lang w:val="en-US" w:eastAsia="ja-JP"/>
              </w:rPr>
              <w:t>applicable use cases (e.g. delay to</w:t>
            </w:r>
            <w:r w:rsidRPr="00D824B8">
              <w:rPr>
                <w:rFonts w:eastAsia="SimSun"/>
                <w:lang w:val="en-US" w:eastAsia="ja-JP"/>
              </w:rPr>
              <w:t>lerant) [RAN2, RAN1]</w:t>
            </w:r>
            <w:r w:rsidRPr="00DD4663">
              <w:rPr>
                <w:rFonts w:eastAsia="SimSun"/>
                <w:lang w:val="en-US" w:eastAsia="ja-JP"/>
              </w:rPr>
              <w:t xml:space="preserve">: </w:t>
            </w:r>
          </w:p>
          <w:p w14:paraId="0D5AC94A" w14:textId="77777777" w:rsidR="00F53AAE" w:rsidRPr="00061FB7" w:rsidRDefault="00F53AAE" w:rsidP="00F53AAE">
            <w:pPr>
              <w:pStyle w:val="ListParagraph"/>
              <w:numPr>
                <w:ilvl w:val="0"/>
                <w:numId w:val="41"/>
              </w:numPr>
              <w:overflowPunct/>
              <w:autoSpaceDE/>
              <w:autoSpaceDN/>
              <w:adjustRightInd/>
              <w:spacing w:after="160" w:line="259" w:lineRule="auto"/>
              <w:ind w:left="1080" w:right="-99"/>
              <w:jc w:val="left"/>
              <w:textAlignment w:val="auto"/>
            </w:pPr>
            <w:r w:rsidRPr="00061FB7">
              <w:t>Reduced PDCCH monitoring by smaller numbers of blind decodes and CCE limits [RAN1].</w:t>
            </w:r>
          </w:p>
          <w:p w14:paraId="6EE8C876" w14:textId="77777777" w:rsidR="00F53AAE" w:rsidRPr="00FE68D7" w:rsidRDefault="00F53AAE" w:rsidP="00F53AAE">
            <w:pPr>
              <w:pStyle w:val="ListParagraph"/>
              <w:numPr>
                <w:ilvl w:val="0"/>
                <w:numId w:val="41"/>
              </w:numPr>
              <w:overflowPunct/>
              <w:autoSpaceDE/>
              <w:autoSpaceDN/>
              <w:adjustRightInd/>
              <w:spacing w:after="160" w:line="259" w:lineRule="auto"/>
              <w:ind w:left="1080" w:right="-99"/>
              <w:jc w:val="left"/>
              <w:textAlignment w:val="auto"/>
              <w:rPr>
                <w:highlight w:val="yellow"/>
              </w:rPr>
            </w:pPr>
            <w:r w:rsidRPr="00FE68D7">
              <w:rPr>
                <w:highlight w:val="yellow"/>
              </w:rPr>
              <w:t>Extended DRX for RRC Inactive and/or Idle [RAN2]</w:t>
            </w:r>
          </w:p>
          <w:p w14:paraId="3192E7EA" w14:textId="2F5E9FFE" w:rsidR="00F53AAE" w:rsidRDefault="00F53AAE" w:rsidP="00F53AAE">
            <w:pPr>
              <w:pStyle w:val="ListParagraph"/>
              <w:numPr>
                <w:ilvl w:val="0"/>
                <w:numId w:val="41"/>
              </w:numPr>
              <w:overflowPunct/>
              <w:autoSpaceDE/>
              <w:autoSpaceDN/>
              <w:adjustRightInd/>
              <w:spacing w:after="160" w:line="259" w:lineRule="auto"/>
              <w:ind w:left="1080" w:right="-99"/>
              <w:jc w:val="left"/>
              <w:textAlignment w:val="auto"/>
            </w:pPr>
            <w:r w:rsidRPr="009209B8">
              <w:t>RRM relaxation for stationary devices</w:t>
            </w:r>
            <w:r>
              <w:t xml:space="preserve"> [RAN2]</w:t>
            </w:r>
          </w:p>
        </w:tc>
      </w:tr>
    </w:tbl>
    <w:p w14:paraId="490194D8" w14:textId="77777777" w:rsidR="00E86F99" w:rsidRDefault="00E86F99" w:rsidP="00E86F99">
      <w:pPr>
        <w:overflowPunct/>
        <w:autoSpaceDE/>
        <w:autoSpaceDN/>
        <w:adjustRightInd/>
        <w:spacing w:after="160" w:line="259" w:lineRule="auto"/>
        <w:ind w:right="-99"/>
        <w:jc w:val="left"/>
        <w:textAlignment w:val="auto"/>
      </w:pPr>
    </w:p>
    <w:p w14:paraId="5C2C9B81" w14:textId="079E1F46" w:rsidR="00F53AAE" w:rsidRPr="00061FB7" w:rsidRDefault="00F53AAE" w:rsidP="00E86F99">
      <w:pPr>
        <w:overflowPunct/>
        <w:autoSpaceDE/>
        <w:autoSpaceDN/>
        <w:adjustRightInd/>
        <w:spacing w:after="160" w:line="259" w:lineRule="auto"/>
        <w:ind w:right="-99"/>
        <w:jc w:val="left"/>
        <w:textAlignment w:val="auto"/>
      </w:pPr>
      <w:r>
        <w:t xml:space="preserve">In this contribution, we discuss the motivation </w:t>
      </w:r>
      <w:r w:rsidR="00AC0B22">
        <w:t>and principles</w:t>
      </w:r>
      <w:r>
        <w:t xml:space="preserve"> for applying</w:t>
      </w:r>
      <w:r w:rsidR="00AC0B22">
        <w:t xml:space="preserve"> the</w:t>
      </w:r>
      <w:r>
        <w:t xml:space="preserve"> extended DRX to RedCap UEs </w:t>
      </w:r>
      <w:r w:rsidR="00AC0B22">
        <w:t xml:space="preserve">in NR </w:t>
      </w:r>
      <w:r>
        <w:t xml:space="preserve">and provide our views on </w:t>
      </w:r>
      <w:r w:rsidR="00AC0B22">
        <w:t>the way forward.</w:t>
      </w:r>
    </w:p>
    <w:p w14:paraId="3AC10C50" w14:textId="14EAB630" w:rsidR="005C149D" w:rsidRDefault="00291158" w:rsidP="00DF1FD3">
      <w:pPr>
        <w:pStyle w:val="Heading1"/>
        <w:rPr>
          <w:rFonts w:ascii="Times New Roman" w:hAnsi="Times New Roman"/>
        </w:rPr>
      </w:pPr>
      <w:r w:rsidRPr="00D46A4D">
        <w:rPr>
          <w:rFonts w:ascii="Times New Roman" w:hAnsi="Times New Roman"/>
        </w:rPr>
        <w:t xml:space="preserve">2 </w:t>
      </w:r>
      <w:r w:rsidR="0030648E" w:rsidRPr="00D46A4D">
        <w:rPr>
          <w:rFonts w:ascii="Times New Roman" w:hAnsi="Times New Roman"/>
        </w:rPr>
        <w:t>Discussion</w:t>
      </w:r>
    </w:p>
    <w:p w14:paraId="3880F314" w14:textId="54ECE1CF" w:rsidR="000D1FFD" w:rsidRDefault="000D1FFD" w:rsidP="000D1FFD">
      <w:r>
        <w:t xml:space="preserve">In the </w:t>
      </w:r>
      <w:r w:rsidR="00C3767C">
        <w:t xml:space="preserve">RedCap </w:t>
      </w:r>
      <w:r>
        <w:t>SID, the following use cases were identified for the study item:</w:t>
      </w:r>
    </w:p>
    <w:p w14:paraId="16B6E013" w14:textId="25654FAA" w:rsidR="000D1FFD" w:rsidRDefault="000D1FFD" w:rsidP="000D1FFD">
      <w:pPr>
        <w:pStyle w:val="ListParagraph"/>
        <w:numPr>
          <w:ilvl w:val="0"/>
          <w:numId w:val="47"/>
        </w:numPr>
      </w:pPr>
      <w:r w:rsidRPr="002F5037">
        <w:t>Industrial wireless sensors</w:t>
      </w:r>
    </w:p>
    <w:p w14:paraId="3AADE3AE" w14:textId="0BEBE61A" w:rsidR="000D1FFD" w:rsidRDefault="000D1FFD" w:rsidP="000D1FFD">
      <w:pPr>
        <w:pStyle w:val="ListParagraph"/>
        <w:numPr>
          <w:ilvl w:val="0"/>
          <w:numId w:val="47"/>
        </w:numPr>
      </w:pPr>
      <w:r w:rsidRPr="002C4A15">
        <w:t>Video Surveillance</w:t>
      </w:r>
    </w:p>
    <w:p w14:paraId="73E736A7" w14:textId="093728CB" w:rsidR="000D1FFD" w:rsidRDefault="000D1FFD" w:rsidP="000D1FFD">
      <w:pPr>
        <w:pStyle w:val="ListParagraph"/>
        <w:numPr>
          <w:ilvl w:val="0"/>
          <w:numId w:val="47"/>
        </w:numPr>
      </w:pPr>
      <w:r w:rsidRPr="00BC500C">
        <w:t>Wearables</w:t>
      </w:r>
    </w:p>
    <w:p w14:paraId="3B316C16" w14:textId="7B306824" w:rsidR="000D1FFD" w:rsidRDefault="0050203E" w:rsidP="000D1FFD">
      <w:r>
        <w:t xml:space="preserve">Battery life of </w:t>
      </w:r>
      <w:r w:rsidR="000D1FFD">
        <w:t>industrial wireless sensors</w:t>
      </w:r>
      <w:r>
        <w:t xml:space="preserve"> is an important consideration, with the expectation that </w:t>
      </w:r>
      <w:r w:rsidR="000D1FFD">
        <w:t>the battery should last at least a few years</w:t>
      </w:r>
      <w:r>
        <w:t xml:space="preserve"> to avoid the need for frequent maintenance</w:t>
      </w:r>
      <w:r w:rsidR="000D1FFD">
        <w:t>. These devices are expected to be stationary or with little movement</w:t>
      </w:r>
      <w:r>
        <w:t>, and its</w:t>
      </w:r>
      <w:r w:rsidR="000D1FFD">
        <w:t xml:space="preserve"> data is mostly uplink-centric and delay tolerant. Normally </w:t>
      </w:r>
      <w:r w:rsidR="00F70103">
        <w:t>sensors</w:t>
      </w:r>
      <w:r w:rsidR="000D1FFD">
        <w:t xml:space="preserve"> would not be paged by the network frequently. Moreover, the amount of data to be transmitted or received </w:t>
      </w:r>
      <w:r>
        <w:t xml:space="preserve">is expected to be </w:t>
      </w:r>
      <w:r w:rsidR="000D1FFD">
        <w:t>small, therefore the devices are not expected to stay in</w:t>
      </w:r>
      <w:r w:rsidR="00AD66A1">
        <w:t xml:space="preserve"> </w:t>
      </w:r>
      <w:r w:rsidR="00F70103">
        <w:t>RRC Connected mode for a</w:t>
      </w:r>
      <w:r w:rsidR="000D1FFD">
        <w:t xml:space="preserve"> long</w:t>
      </w:r>
      <w:r w:rsidR="00F70103">
        <w:t xml:space="preserve"> period of time</w:t>
      </w:r>
      <w:r w:rsidR="000D1FFD">
        <w:t xml:space="preserve">. </w:t>
      </w:r>
      <w:r w:rsidR="00F70103">
        <w:t>T</w:t>
      </w:r>
      <w:r w:rsidR="000D1FFD">
        <w:t xml:space="preserve">he dominant contribution to the power consumption comes from monitoring paging </w:t>
      </w:r>
      <w:r w:rsidR="00AD66A1">
        <w:t xml:space="preserve">occasions </w:t>
      </w:r>
      <w:r>
        <w:t xml:space="preserve">in </w:t>
      </w:r>
      <w:r w:rsidR="000D1FFD">
        <w:t xml:space="preserve">Idle </w:t>
      </w:r>
      <w:r>
        <w:t>and/</w:t>
      </w:r>
      <w:r w:rsidR="000D1FFD">
        <w:t>or Inactive modes.</w:t>
      </w:r>
    </w:p>
    <w:p w14:paraId="4A2B0667" w14:textId="5E923DC4" w:rsidR="00AC7D8C" w:rsidRDefault="000D1FFD" w:rsidP="000D1FFD">
      <w:r>
        <w:t xml:space="preserve">For wearables, the battery </w:t>
      </w:r>
      <w:r w:rsidR="0050203E">
        <w:t xml:space="preserve">is expected to </w:t>
      </w:r>
      <w:r>
        <w:t xml:space="preserve">last multiple days (up to </w:t>
      </w:r>
      <w:r w:rsidR="0050203E">
        <w:t xml:space="preserve">a few </w:t>
      </w:r>
      <w:r>
        <w:t>weeks).</w:t>
      </w:r>
      <w:r w:rsidR="0009659E">
        <w:t xml:space="preserve"> This target is already difficult to achieve for most smartphone devices. </w:t>
      </w:r>
      <w:r w:rsidR="0050203E">
        <w:t xml:space="preserve">Given that </w:t>
      </w:r>
      <w:r w:rsidR="0009659E">
        <w:t>these device</w:t>
      </w:r>
      <w:r w:rsidR="0050203E">
        <w:t>s</w:t>
      </w:r>
      <w:r w:rsidR="0009659E">
        <w:t xml:space="preserve"> have a small</w:t>
      </w:r>
      <w:r w:rsidR="0050203E">
        <w:t>er</w:t>
      </w:r>
      <w:r w:rsidR="0009659E">
        <w:t xml:space="preserve"> form factor</w:t>
      </w:r>
      <w:r w:rsidR="0050203E">
        <w:t xml:space="preserve"> that smartphones</w:t>
      </w:r>
      <w:r w:rsidR="0009659E">
        <w:t>, with smaller battery capacit</w:t>
      </w:r>
      <w:r w:rsidR="0050203E">
        <w:t>ies, achieving a longer battery life requires enhancements beyond those available for smartphones today</w:t>
      </w:r>
      <w:r w:rsidR="0009659E">
        <w:t>.</w:t>
      </w:r>
    </w:p>
    <w:p w14:paraId="1A67DE81" w14:textId="6812329B" w:rsidR="000D1FFD" w:rsidRDefault="00FB55B8" w:rsidP="000D1FFD">
      <w:r>
        <w:t>In order to achieve</w:t>
      </w:r>
      <w:r w:rsidR="00F70103">
        <w:t xml:space="preserve"> </w:t>
      </w:r>
      <w:r w:rsidR="0009659E">
        <w:t xml:space="preserve">the </w:t>
      </w:r>
      <w:r w:rsidR="00F70103">
        <w:t>battery life targets for these devices</w:t>
      </w:r>
      <w:r>
        <w:t>,</w:t>
      </w:r>
      <w:r w:rsidR="00F70103">
        <w:t xml:space="preserve"> e</w:t>
      </w:r>
      <w:r w:rsidR="000D1FFD">
        <w:t xml:space="preserve">nhancements for Idle/Inactive mode </w:t>
      </w:r>
      <w:r w:rsidR="008A137D">
        <w:t>DRX</w:t>
      </w:r>
      <w:r w:rsidR="000D1FFD">
        <w:t xml:space="preserve"> </w:t>
      </w:r>
      <w:r w:rsidR="0050203E">
        <w:t>are necessary</w:t>
      </w:r>
      <w:r w:rsidR="000D1FFD">
        <w:t>.</w:t>
      </w:r>
      <w:r w:rsidR="00C3767C">
        <w:t xml:space="preserve"> In Release 16, the maximum paging cycle that can be configured</w:t>
      </w:r>
      <w:r w:rsidR="0050203E">
        <w:t xml:space="preserve"> for NR</w:t>
      </w:r>
      <w:r w:rsidR="00C3767C">
        <w:t xml:space="preserve"> is 256 </w:t>
      </w:r>
      <w:r w:rsidR="008A137D">
        <w:t>radio</w:t>
      </w:r>
      <w:r w:rsidR="00C3767C">
        <w:t xml:space="preserve"> frames, i.e. 2.56 seconds.</w:t>
      </w:r>
      <w:r w:rsidR="0009659E">
        <w:t xml:space="preserve"> </w:t>
      </w:r>
      <w:r w:rsidR="00135545">
        <w:t xml:space="preserve">On the other hand, with eDRX in LTE/NB-IoT, the paging cycle </w:t>
      </w:r>
      <w:r w:rsidR="0078057B">
        <w:t>has been</w:t>
      </w:r>
      <w:r w:rsidR="00F70103">
        <w:t xml:space="preserve"> extended beyo</w:t>
      </w:r>
      <w:r w:rsidR="0078057B">
        <w:t>nd 2.56, up to 10485.76 seconds in LTE/NB-IoT.</w:t>
      </w:r>
      <w:r w:rsidR="00135545">
        <w:t xml:space="preserve"> For use-cases that have limited RRC connected mode operation and are delay-tolerant or are uplink-centric, a reduction in </w:t>
      </w:r>
      <w:proofErr w:type="gramStart"/>
      <w:r w:rsidR="00135545">
        <w:t>Idle</w:t>
      </w:r>
      <w:proofErr w:type="gramEnd"/>
      <w:r w:rsidR="00135545">
        <w:t xml:space="preserve"> mode power consumption by reducing paging monitoring frequency will result in significant battery life improvements.</w:t>
      </w:r>
    </w:p>
    <w:p w14:paraId="1E9D0558" w14:textId="3CCA64E3" w:rsidR="00AC7D8C" w:rsidRPr="00AC7D8C" w:rsidRDefault="00AC7D8C" w:rsidP="000D1FFD">
      <w:pPr>
        <w:rPr>
          <w:b/>
        </w:rPr>
      </w:pPr>
      <w:r w:rsidRPr="00AC7D8C">
        <w:rPr>
          <w:b/>
        </w:rPr>
        <w:t>Observation</w:t>
      </w:r>
      <w:r w:rsidR="00135545">
        <w:rPr>
          <w:b/>
        </w:rPr>
        <w:t xml:space="preserve"> 1</w:t>
      </w:r>
      <w:r w:rsidRPr="00AC7D8C">
        <w:rPr>
          <w:b/>
        </w:rPr>
        <w:t xml:space="preserve">: Introducing eDRX </w:t>
      </w:r>
      <w:r w:rsidR="00135545">
        <w:rPr>
          <w:b/>
        </w:rPr>
        <w:t>to NR</w:t>
      </w:r>
      <w:r w:rsidR="00135545" w:rsidRPr="00AC7D8C">
        <w:rPr>
          <w:b/>
        </w:rPr>
        <w:t xml:space="preserve"> </w:t>
      </w:r>
      <w:r w:rsidR="0023064E">
        <w:rPr>
          <w:b/>
        </w:rPr>
        <w:t xml:space="preserve">helps improve battery life </w:t>
      </w:r>
      <w:r w:rsidRPr="00AC7D8C">
        <w:rPr>
          <w:b/>
        </w:rPr>
        <w:t>for industrial wireless sensors and wearables use cases.</w:t>
      </w:r>
    </w:p>
    <w:p w14:paraId="570BE042" w14:textId="32C6C506" w:rsidR="000D1FFD" w:rsidRDefault="000D1FFD" w:rsidP="000D1FFD">
      <w:r>
        <w:t>In LTE</w:t>
      </w:r>
      <w:r w:rsidR="002A2E34">
        <w:t xml:space="preserve"> MTC</w:t>
      </w:r>
      <w:r>
        <w:t xml:space="preserve"> and NB-IoT, extended DRX (eDRX) has been introduced as a power saving mechanism since Release 13. </w:t>
      </w:r>
      <w:proofErr w:type="gramStart"/>
      <w:r>
        <w:t>eDRX</w:t>
      </w:r>
      <w:proofErr w:type="gramEnd"/>
      <w:r>
        <w:t xml:space="preserve"> works by </w:t>
      </w:r>
      <w:r w:rsidR="0009659E">
        <w:t>extending</w:t>
      </w:r>
      <w:r>
        <w:t xml:space="preserve"> the </w:t>
      </w:r>
      <w:r w:rsidR="00A3383B">
        <w:t>time</w:t>
      </w:r>
      <w:r w:rsidR="0009659E">
        <w:t xml:space="preserve"> interval during</w:t>
      </w:r>
      <w:r w:rsidR="00A3383B">
        <w:t xml:space="preserve"> </w:t>
      </w:r>
      <w:r w:rsidR="0009659E">
        <w:t xml:space="preserve">which </w:t>
      </w:r>
      <w:r w:rsidR="00A3383B">
        <w:t xml:space="preserve">the </w:t>
      </w:r>
      <w:r w:rsidR="00C3767C">
        <w:t xml:space="preserve">UE </w:t>
      </w:r>
      <w:r w:rsidR="0009659E">
        <w:t>does not monitor</w:t>
      </w:r>
      <w:r w:rsidR="00C3767C">
        <w:t xml:space="preserve"> the paging </w:t>
      </w:r>
      <w:r w:rsidR="0009659E">
        <w:t>messages</w:t>
      </w:r>
      <w:r w:rsidR="00C3767C">
        <w:t xml:space="preserve">. The cost of reduced monitoring is </w:t>
      </w:r>
      <w:r w:rsidR="0023064E">
        <w:t xml:space="preserve">a </w:t>
      </w:r>
      <w:r w:rsidR="00C3767C">
        <w:t xml:space="preserve">delay in reaching the UE in Idle </w:t>
      </w:r>
      <w:r w:rsidR="00A3383B">
        <w:t xml:space="preserve">or Inactive </w:t>
      </w:r>
      <w:r w:rsidR="00C3767C">
        <w:t>mode</w:t>
      </w:r>
      <w:r w:rsidR="0078057B">
        <w:t>, when there is pending downlink data</w:t>
      </w:r>
      <w:r w:rsidR="00C3767C">
        <w:t>. For devices and use cases</w:t>
      </w:r>
      <w:r w:rsidR="0009659E">
        <w:t xml:space="preserve"> that</w:t>
      </w:r>
      <w:r w:rsidR="0023064E">
        <w:t xml:space="preserve"> expect delay-tolerant </w:t>
      </w:r>
      <w:r w:rsidR="0009659E">
        <w:t>downlink traffic</w:t>
      </w:r>
      <w:r w:rsidR="00C3767C">
        <w:t>, this delay can be acceptable.</w:t>
      </w:r>
    </w:p>
    <w:p w14:paraId="38A1343C" w14:textId="4ED1D368" w:rsidR="000D1FFD" w:rsidRDefault="00C3767C" w:rsidP="000D1FFD">
      <w:r>
        <w:t xml:space="preserve">In eDRX, the UE monitors </w:t>
      </w:r>
      <w:r w:rsidR="0023064E">
        <w:t xml:space="preserve">for </w:t>
      </w:r>
      <w:r>
        <w:t xml:space="preserve">paging during a time </w:t>
      </w:r>
      <w:r w:rsidR="0009659E">
        <w:t>interval</w:t>
      </w:r>
      <w:r>
        <w:t xml:space="preserve"> called paging time window (PTW). </w:t>
      </w:r>
      <w:r w:rsidR="001E65A8">
        <w:t xml:space="preserve">The length of </w:t>
      </w:r>
      <w:r w:rsidR="0023064E">
        <w:t xml:space="preserve">the </w:t>
      </w:r>
      <w:r w:rsidR="001E65A8">
        <w:t>PTW can be up to 40.96 sec</w:t>
      </w:r>
      <w:r>
        <w:t xml:space="preserve"> for NB-IoT. During the PTW, the UE monitors the paging according to </w:t>
      </w:r>
      <w:r w:rsidR="0023064E">
        <w:t xml:space="preserve">its </w:t>
      </w:r>
      <w:r w:rsidR="0009659E">
        <w:t xml:space="preserve">legacy </w:t>
      </w:r>
      <w:r>
        <w:t>idle mode DRX (I-DRX) c</w:t>
      </w:r>
      <w:r w:rsidR="0002363D">
        <w:t>onfiguration.</w:t>
      </w:r>
      <w:r w:rsidR="005A2F3D">
        <w:t xml:space="preserve"> </w:t>
      </w:r>
      <w:r w:rsidR="0023064E">
        <w:t xml:space="preserve">The </w:t>
      </w:r>
      <w:r w:rsidR="005A2F3D">
        <w:t>PTW is repeated in cycles of T</w:t>
      </w:r>
      <w:r w:rsidR="005A2F3D" w:rsidRPr="005A2F3D">
        <w:rPr>
          <w:vertAlign w:val="subscript"/>
        </w:rPr>
        <w:t>eDRX</w:t>
      </w:r>
      <w:r w:rsidR="005A2F3D">
        <w:t>. T</w:t>
      </w:r>
      <w:r w:rsidR="005A2F3D" w:rsidRPr="005A2F3D">
        <w:rPr>
          <w:vertAlign w:val="subscript"/>
        </w:rPr>
        <w:t>eDRX</w:t>
      </w:r>
      <w:r w:rsidR="005A2F3D">
        <w:t xml:space="preserve"> can </w:t>
      </w:r>
      <w:r w:rsidR="0023064E">
        <w:t xml:space="preserve">span </w:t>
      </w:r>
      <w:r w:rsidR="005A2F3D">
        <w:t xml:space="preserve">multiple hyper-frames (HFNs), </w:t>
      </w:r>
      <w:r w:rsidR="00607486">
        <w:t>each</w:t>
      </w:r>
      <w:r w:rsidR="005A2F3D">
        <w:t xml:space="preserve"> consist</w:t>
      </w:r>
      <w:r w:rsidR="00607486">
        <w:t>ing</w:t>
      </w:r>
      <w:r w:rsidR="005A2F3D">
        <w:t xml:space="preserve"> of 1024 radio frames.</w:t>
      </w:r>
      <w:r w:rsidR="0002363D">
        <w:t xml:space="preserve"> </w:t>
      </w:r>
      <w:r w:rsidR="0009659E">
        <w:t>For the Inactive mode</w:t>
      </w:r>
      <w:r w:rsidR="0002363D">
        <w:t xml:space="preserve">, the maximum value for the RAN paging cycle </w:t>
      </w:r>
      <w:r>
        <w:t xml:space="preserve">has been extended from 256 to 1024 </w:t>
      </w:r>
      <w:r w:rsidR="0002363D">
        <w:t>radio frames</w:t>
      </w:r>
      <w:r>
        <w:t xml:space="preserve"> </w:t>
      </w:r>
      <w:r w:rsidR="0009659E">
        <w:t>with</w:t>
      </w:r>
      <w:r w:rsidR="0002363D">
        <w:t xml:space="preserve"> eDRX</w:t>
      </w:r>
      <w:r>
        <w:t>.</w:t>
      </w:r>
      <w:r w:rsidR="00DD141E">
        <w:t xml:space="preserve"> A typical eDRX timeline </w:t>
      </w:r>
      <w:r w:rsidR="0078057B">
        <w:t xml:space="preserve">for </w:t>
      </w:r>
      <w:proofErr w:type="gramStart"/>
      <w:r w:rsidR="0078057B">
        <w:t>Idle</w:t>
      </w:r>
      <w:proofErr w:type="gramEnd"/>
      <w:r w:rsidR="0078057B">
        <w:t xml:space="preserve"> mode </w:t>
      </w:r>
      <w:r w:rsidR="00DD141E">
        <w:t xml:space="preserve">is illustrated </w:t>
      </w:r>
      <w:r w:rsidR="00E846E5">
        <w:t xml:space="preserve">in </w:t>
      </w:r>
      <w:r w:rsidR="00E846E5">
        <w:fldChar w:fldCharType="begin"/>
      </w:r>
      <w:r w:rsidR="00E846E5">
        <w:instrText xml:space="preserve"> REF _Ref47357891 \h </w:instrText>
      </w:r>
      <w:r w:rsidR="00E846E5">
        <w:fldChar w:fldCharType="separate"/>
      </w:r>
      <w:r w:rsidR="00E846E5">
        <w:t xml:space="preserve">Figure </w:t>
      </w:r>
      <w:r w:rsidR="00E846E5">
        <w:rPr>
          <w:noProof/>
        </w:rPr>
        <w:t>1</w:t>
      </w:r>
      <w:r w:rsidR="00E846E5">
        <w:fldChar w:fldCharType="end"/>
      </w:r>
      <w:r w:rsidR="00E846E5">
        <w:t xml:space="preserve"> </w:t>
      </w:r>
      <w:r w:rsidR="00DD141E">
        <w:t>below.</w:t>
      </w:r>
    </w:p>
    <w:p w14:paraId="028327E9" w14:textId="0C3CA127" w:rsidR="00E846E5" w:rsidRDefault="009B5779" w:rsidP="00E846E5">
      <w:pPr>
        <w:keepNext/>
        <w:jc w:val="center"/>
      </w:pPr>
      <w:r>
        <w:object w:dxaOrig="9045" w:dyaOrig="3510" w14:anchorId="3E631C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2.5pt;height:140.85pt" o:ole="">
            <v:imagedata r:id="rId7" o:title=""/>
          </v:shape>
          <o:OLEObject Type="Embed" ProgID="Visio.Drawing.15" ShapeID="_x0000_i1025" DrawAspect="Content" ObjectID="_1658238706" r:id="rId8"/>
        </w:object>
      </w:r>
    </w:p>
    <w:p w14:paraId="6A93AE76" w14:textId="1A68A9F5" w:rsidR="00DD141E" w:rsidRDefault="00E846E5" w:rsidP="00E846E5">
      <w:pPr>
        <w:pStyle w:val="Caption"/>
        <w:jc w:val="center"/>
      </w:pPr>
      <w:bookmarkStart w:id="2" w:name="_Ref47357891"/>
      <w:r>
        <w:t xml:space="preserve">Figure </w:t>
      </w:r>
      <w:r w:rsidR="00173732">
        <w:rPr>
          <w:noProof/>
        </w:rPr>
        <w:fldChar w:fldCharType="begin"/>
      </w:r>
      <w:r w:rsidR="00173732">
        <w:rPr>
          <w:noProof/>
        </w:rPr>
        <w:instrText xml:space="preserve"> SEQ Figure \* ARABIC </w:instrText>
      </w:r>
      <w:r w:rsidR="00173732">
        <w:rPr>
          <w:noProof/>
        </w:rPr>
        <w:fldChar w:fldCharType="separate"/>
      </w:r>
      <w:r w:rsidR="00E82E6B">
        <w:rPr>
          <w:noProof/>
        </w:rPr>
        <w:t>1</w:t>
      </w:r>
      <w:r w:rsidR="00173732">
        <w:rPr>
          <w:noProof/>
        </w:rPr>
        <w:fldChar w:fldCharType="end"/>
      </w:r>
      <w:bookmarkEnd w:id="2"/>
      <w:r>
        <w:t xml:space="preserve"> Example eDRX timeline</w:t>
      </w:r>
    </w:p>
    <w:p w14:paraId="0960D2A3" w14:textId="77777777" w:rsidR="00D7590C" w:rsidRDefault="00D7590C" w:rsidP="000D1FFD"/>
    <w:p w14:paraId="1D99B9B8" w14:textId="5B8FDBBF" w:rsidR="007C78D2" w:rsidRDefault="007C78D2" w:rsidP="00F113D2">
      <w:r>
        <w:t>Unlike I-DRX, there is no common (default) eDRX configuration that is broadcast by the network and shared by multiple UEs</w:t>
      </w:r>
      <w:r w:rsidR="00E71455">
        <w:t>;</w:t>
      </w:r>
      <w:r>
        <w:t xml:space="preserve"> only UE specific eDRX configuration is possible. The UE specific eDRX configuration can be signalled to the UE during the registration procedure for initial registration or the r</w:t>
      </w:r>
      <w:r w:rsidRPr="000C64D5">
        <w:t xml:space="preserve">egistration procedure for mobility and periodic registration update </w:t>
      </w:r>
      <w:r>
        <w:fldChar w:fldCharType="begin"/>
      </w:r>
      <w:r>
        <w:instrText xml:space="preserve"> REF _Ref47107517 \r \h </w:instrText>
      </w:r>
      <w:r>
        <w:fldChar w:fldCharType="separate"/>
      </w:r>
      <w:r>
        <w:t>[7]</w:t>
      </w:r>
      <w:r>
        <w:fldChar w:fldCharType="end"/>
      </w:r>
      <w:r>
        <w:t>.</w:t>
      </w:r>
    </w:p>
    <w:p w14:paraId="2786DA66" w14:textId="07CE6FA1" w:rsidR="00F113D2" w:rsidRDefault="00F113D2" w:rsidP="00F113D2">
      <w:r>
        <w:t xml:space="preserve">In order to evaluate the additional power savings that could be achieved by introducing eDRX in NR compared to legacy I-DRX, </w:t>
      </w:r>
      <w:r w:rsidR="0078057B">
        <w:t xml:space="preserve">we use </w:t>
      </w:r>
      <w:r>
        <w:t>a model</w:t>
      </w:r>
      <w:r w:rsidR="0078057B">
        <w:t xml:space="preserve"> based on </w:t>
      </w:r>
      <w:r w:rsidR="0078057B">
        <w:fldChar w:fldCharType="begin"/>
      </w:r>
      <w:r w:rsidR="0078057B">
        <w:instrText xml:space="preserve"> REF _Ref47453376 \r \h </w:instrText>
      </w:r>
      <w:r w:rsidR="0078057B">
        <w:fldChar w:fldCharType="separate"/>
      </w:r>
      <w:r w:rsidR="0078057B">
        <w:t>[8]</w:t>
      </w:r>
      <w:r w:rsidR="0078057B">
        <w:fldChar w:fldCharType="end"/>
      </w:r>
      <w:r w:rsidR="00A143A6">
        <w:t>, scaled to 20MHz for Idle mode operation</w:t>
      </w:r>
      <w:r>
        <w:t xml:space="preserve">. </w:t>
      </w:r>
      <w:r w:rsidR="00E82E6B">
        <w:t xml:space="preserve">We consider two scenarios: 1) High SINR, and 2) Low SINR, </w:t>
      </w:r>
      <w:r>
        <w:t>as illustrated below:</w:t>
      </w:r>
    </w:p>
    <w:p w14:paraId="7B754C20" w14:textId="77777777" w:rsidR="00F113D2" w:rsidRDefault="00F113D2" w:rsidP="00F113D2">
      <w:pPr>
        <w:keepNext/>
        <w:jc w:val="center"/>
      </w:pPr>
      <w:r>
        <w:object w:dxaOrig="10636" w:dyaOrig="1560" w14:anchorId="049D7464">
          <v:shape id="_x0000_i1026" type="#_x0000_t75" style="width:380.05pt;height:55.7pt" o:ole="">
            <v:imagedata r:id="rId9" o:title=""/>
          </v:shape>
          <o:OLEObject Type="Embed" ProgID="Visio.Drawing.15" ShapeID="_x0000_i1026" DrawAspect="Content" ObjectID="_1658238707" r:id="rId10"/>
        </w:object>
      </w:r>
    </w:p>
    <w:p w14:paraId="5DF655FE" w14:textId="15AD7BD1" w:rsidR="00F113D2" w:rsidRDefault="00F113D2" w:rsidP="00F113D2">
      <w:pPr>
        <w:pStyle w:val="Caption"/>
        <w:jc w:val="center"/>
      </w:pPr>
      <w:r>
        <w:t xml:space="preserve">Figure </w:t>
      </w:r>
      <w:r w:rsidR="00173732">
        <w:rPr>
          <w:noProof/>
        </w:rPr>
        <w:fldChar w:fldCharType="begin"/>
      </w:r>
      <w:r w:rsidR="00173732">
        <w:rPr>
          <w:noProof/>
        </w:rPr>
        <w:instrText xml:space="preserve"> SEQ Figure \* ARABIC </w:instrText>
      </w:r>
      <w:r w:rsidR="00173732">
        <w:rPr>
          <w:noProof/>
        </w:rPr>
        <w:fldChar w:fldCharType="separate"/>
      </w:r>
      <w:r w:rsidR="00E82E6B">
        <w:rPr>
          <w:noProof/>
        </w:rPr>
        <w:t>2</w:t>
      </w:r>
      <w:r w:rsidR="00173732">
        <w:rPr>
          <w:noProof/>
        </w:rPr>
        <w:fldChar w:fldCharType="end"/>
      </w:r>
      <w:r>
        <w:t xml:space="preserve"> Timeline </w:t>
      </w:r>
      <w:r w:rsidR="00E82E6B">
        <w:t>for</w:t>
      </w:r>
      <w:r>
        <w:t xml:space="preserve"> I-DRX with high SINR</w:t>
      </w:r>
    </w:p>
    <w:p w14:paraId="4C676D4B" w14:textId="77777777" w:rsidR="00E82E6B" w:rsidRDefault="00E82E6B" w:rsidP="00E82E6B">
      <w:pPr>
        <w:keepNext/>
        <w:jc w:val="center"/>
      </w:pPr>
      <w:r>
        <w:object w:dxaOrig="13186" w:dyaOrig="1741" w14:anchorId="522B751D">
          <v:shape id="_x0000_i1027" type="#_x0000_t75" style="width:482.1pt;height:63.85pt" o:ole="">
            <v:imagedata r:id="rId11" o:title=""/>
          </v:shape>
          <o:OLEObject Type="Embed" ProgID="Visio.Drawing.15" ShapeID="_x0000_i1027" DrawAspect="Content" ObjectID="_1658238708" r:id="rId12"/>
        </w:object>
      </w:r>
    </w:p>
    <w:p w14:paraId="630C929F" w14:textId="3B73AB43" w:rsidR="00E82E6B" w:rsidRDefault="00E82E6B" w:rsidP="00E82E6B">
      <w:pPr>
        <w:pStyle w:val="Caption"/>
        <w:jc w:val="center"/>
      </w:pPr>
      <w:r>
        <w:t xml:space="preserve">Figure </w:t>
      </w:r>
      <w:r w:rsidR="00173732">
        <w:rPr>
          <w:noProof/>
        </w:rPr>
        <w:fldChar w:fldCharType="begin"/>
      </w:r>
      <w:r w:rsidR="00173732">
        <w:rPr>
          <w:noProof/>
        </w:rPr>
        <w:instrText xml:space="preserve"> SEQ Figure \* ARABIC </w:instrText>
      </w:r>
      <w:r w:rsidR="00173732">
        <w:rPr>
          <w:noProof/>
        </w:rPr>
        <w:fldChar w:fldCharType="separate"/>
      </w:r>
      <w:r>
        <w:rPr>
          <w:noProof/>
        </w:rPr>
        <w:t>3</w:t>
      </w:r>
      <w:r w:rsidR="00173732">
        <w:rPr>
          <w:noProof/>
        </w:rPr>
        <w:fldChar w:fldCharType="end"/>
      </w:r>
      <w:r>
        <w:t xml:space="preserve"> Timeline for I-DRX with low SINR</w:t>
      </w:r>
    </w:p>
    <w:p w14:paraId="4E4DE08B" w14:textId="77777777" w:rsidR="00F113D2" w:rsidRPr="003F1E73" w:rsidRDefault="00F113D2" w:rsidP="00F113D2">
      <w:r>
        <w:t>Relative power during various states can be modelled as below:</w:t>
      </w:r>
    </w:p>
    <w:p w14:paraId="1CAC0439" w14:textId="77777777" w:rsidR="00F113D2" w:rsidRDefault="00F113D2" w:rsidP="00F113D2">
      <w:pPr>
        <w:pStyle w:val="Caption"/>
        <w:keepNext/>
        <w:jc w:val="center"/>
      </w:pPr>
      <w:r>
        <w:t xml:space="preserve">Table </w:t>
      </w:r>
      <w:r w:rsidR="00173732">
        <w:rPr>
          <w:noProof/>
        </w:rPr>
        <w:fldChar w:fldCharType="begin"/>
      </w:r>
      <w:r w:rsidR="00173732">
        <w:rPr>
          <w:noProof/>
        </w:rPr>
        <w:instrText xml:space="preserve"> SEQ Table \* ARABIC </w:instrText>
      </w:r>
      <w:r w:rsidR="00173732">
        <w:rPr>
          <w:noProof/>
        </w:rPr>
        <w:fldChar w:fldCharType="separate"/>
      </w:r>
      <w:r>
        <w:rPr>
          <w:noProof/>
        </w:rPr>
        <w:t>1</w:t>
      </w:r>
      <w:r w:rsidR="00173732">
        <w:rPr>
          <w:noProof/>
        </w:rPr>
        <w:fldChar w:fldCharType="end"/>
      </w:r>
      <w:r>
        <w:t xml:space="preserve"> Power state modelling for I-DRX</w:t>
      </w:r>
    </w:p>
    <w:tbl>
      <w:tblPr>
        <w:tblStyle w:val="TableGrid"/>
        <w:tblW w:w="0" w:type="auto"/>
        <w:jc w:val="center"/>
        <w:tblLayout w:type="fixed"/>
        <w:tblLook w:val="04A0" w:firstRow="1" w:lastRow="0" w:firstColumn="1" w:lastColumn="0" w:noHBand="0" w:noVBand="1"/>
      </w:tblPr>
      <w:tblGrid>
        <w:gridCol w:w="2263"/>
        <w:gridCol w:w="1134"/>
        <w:gridCol w:w="1984"/>
        <w:gridCol w:w="1277"/>
        <w:gridCol w:w="1842"/>
      </w:tblGrid>
      <w:tr w:rsidR="00E82E6B" w:rsidRPr="00826399" w14:paraId="2E135F63" w14:textId="77777777" w:rsidTr="005F3871">
        <w:trPr>
          <w:jc w:val="center"/>
        </w:trPr>
        <w:tc>
          <w:tcPr>
            <w:tcW w:w="2263" w:type="dxa"/>
          </w:tcPr>
          <w:p w14:paraId="6F110361" w14:textId="77777777" w:rsidR="00E82E6B" w:rsidRPr="00826399" w:rsidRDefault="00E82E6B" w:rsidP="005F3871">
            <w:pPr>
              <w:spacing w:after="100" w:afterAutospacing="1"/>
              <w:ind w:rightChars="50" w:right="100"/>
              <w:jc w:val="center"/>
              <w:rPr>
                <w:rFonts w:ascii="Arial" w:hAnsi="Arial" w:cs="Arial"/>
                <w:b/>
              </w:rPr>
            </w:pPr>
            <w:r w:rsidRPr="00826399">
              <w:rPr>
                <w:rFonts w:ascii="Arial" w:hAnsi="Arial" w:cs="Arial"/>
                <w:b/>
              </w:rPr>
              <w:t>Component Description</w:t>
            </w:r>
          </w:p>
        </w:tc>
        <w:tc>
          <w:tcPr>
            <w:tcW w:w="1134" w:type="dxa"/>
          </w:tcPr>
          <w:p w14:paraId="7ABB9C3E" w14:textId="77777777" w:rsidR="00E82E6B" w:rsidRPr="00826399" w:rsidRDefault="00E82E6B" w:rsidP="005F3871">
            <w:pPr>
              <w:spacing w:after="100" w:afterAutospacing="1"/>
              <w:ind w:rightChars="50" w:right="100"/>
              <w:jc w:val="center"/>
              <w:rPr>
                <w:rFonts w:ascii="Arial" w:hAnsi="Arial" w:cs="Arial"/>
                <w:b/>
              </w:rPr>
            </w:pPr>
            <w:r w:rsidRPr="00826399">
              <w:rPr>
                <w:rFonts w:ascii="Arial" w:hAnsi="Arial" w:cs="Arial"/>
                <w:b/>
              </w:rPr>
              <w:t>Power notation</w:t>
            </w:r>
          </w:p>
        </w:tc>
        <w:tc>
          <w:tcPr>
            <w:tcW w:w="1984" w:type="dxa"/>
          </w:tcPr>
          <w:p w14:paraId="0A65E80B" w14:textId="77777777" w:rsidR="00E82E6B" w:rsidRPr="00826399" w:rsidRDefault="00E82E6B" w:rsidP="005F3871">
            <w:pPr>
              <w:spacing w:after="100" w:afterAutospacing="1"/>
              <w:ind w:rightChars="50" w:right="100"/>
              <w:jc w:val="center"/>
              <w:rPr>
                <w:rFonts w:ascii="Arial" w:hAnsi="Arial" w:cs="Arial"/>
                <w:b/>
              </w:rPr>
            </w:pPr>
            <w:r w:rsidRPr="00826399">
              <w:rPr>
                <w:rFonts w:ascii="Arial" w:hAnsi="Arial" w:cs="Arial"/>
                <w:b/>
              </w:rPr>
              <w:t>Relative power</w:t>
            </w:r>
          </w:p>
        </w:tc>
        <w:tc>
          <w:tcPr>
            <w:tcW w:w="1277" w:type="dxa"/>
          </w:tcPr>
          <w:p w14:paraId="0283A8AB" w14:textId="77777777" w:rsidR="00E82E6B" w:rsidRPr="00826399" w:rsidRDefault="00E82E6B" w:rsidP="005F3871">
            <w:pPr>
              <w:spacing w:after="100" w:afterAutospacing="1"/>
              <w:ind w:rightChars="50" w:right="100"/>
              <w:jc w:val="center"/>
              <w:rPr>
                <w:rFonts w:ascii="Arial" w:hAnsi="Arial" w:cs="Arial"/>
                <w:b/>
              </w:rPr>
            </w:pPr>
            <w:r w:rsidRPr="00826399">
              <w:rPr>
                <w:rFonts w:ascii="Arial" w:hAnsi="Arial" w:cs="Arial"/>
                <w:b/>
              </w:rPr>
              <w:t>Time notation</w:t>
            </w:r>
          </w:p>
        </w:tc>
        <w:tc>
          <w:tcPr>
            <w:tcW w:w="1842" w:type="dxa"/>
          </w:tcPr>
          <w:p w14:paraId="0FEA6438" w14:textId="77777777" w:rsidR="00E82E6B" w:rsidRPr="00826399" w:rsidRDefault="00E82E6B" w:rsidP="005F3871">
            <w:pPr>
              <w:spacing w:after="100" w:afterAutospacing="1"/>
              <w:ind w:rightChars="50" w:right="100"/>
              <w:jc w:val="center"/>
              <w:rPr>
                <w:rFonts w:ascii="Arial" w:hAnsi="Arial" w:cs="Arial"/>
                <w:b/>
              </w:rPr>
            </w:pPr>
            <w:r w:rsidRPr="00826399">
              <w:rPr>
                <w:rFonts w:ascii="Arial" w:hAnsi="Arial" w:cs="Arial"/>
                <w:b/>
              </w:rPr>
              <w:t>Time (ms)</w:t>
            </w:r>
          </w:p>
        </w:tc>
      </w:tr>
      <w:tr w:rsidR="00E82E6B" w:rsidRPr="00826399" w14:paraId="529AD264" w14:textId="77777777" w:rsidTr="005F3871">
        <w:trPr>
          <w:jc w:val="center"/>
        </w:trPr>
        <w:tc>
          <w:tcPr>
            <w:tcW w:w="2263" w:type="dxa"/>
          </w:tcPr>
          <w:p w14:paraId="383F156F" w14:textId="77777777" w:rsidR="00E82E6B" w:rsidRPr="00826399" w:rsidRDefault="00E82E6B" w:rsidP="005F3871">
            <w:pPr>
              <w:spacing w:after="0"/>
              <w:ind w:rightChars="50" w:right="100"/>
              <w:jc w:val="center"/>
              <w:rPr>
                <w:rFonts w:ascii="Arial" w:hAnsi="Arial" w:cs="Arial"/>
              </w:rPr>
            </w:pPr>
            <w:r w:rsidRPr="00826399">
              <w:rPr>
                <w:rFonts w:ascii="Arial" w:hAnsi="Arial" w:cs="Arial"/>
              </w:rPr>
              <w:t>SSB processing</w:t>
            </w:r>
          </w:p>
        </w:tc>
        <w:tc>
          <w:tcPr>
            <w:tcW w:w="1134" w:type="dxa"/>
          </w:tcPr>
          <w:p w14:paraId="67260D34" w14:textId="77777777" w:rsidR="00E82E6B" w:rsidRPr="00826399" w:rsidRDefault="004D2BF9" w:rsidP="005F3871">
            <w:pPr>
              <w:spacing w:after="0"/>
              <w:ind w:rightChars="50" w:right="100"/>
              <w:jc w:val="center"/>
              <w:rPr>
                <w:rFonts w:ascii="Arial" w:hAnsi="Arial" w:cs="Arial"/>
              </w:rPr>
            </w:pPr>
            <m:oMathPara>
              <m:oMath>
                <m:sSub>
                  <m:sSubPr>
                    <m:ctrlPr>
                      <w:rPr>
                        <w:rFonts w:ascii="Cambria Math" w:hAnsi="Cambria Math" w:cs="Arial"/>
                        <w:i/>
                      </w:rPr>
                    </m:ctrlPr>
                  </m:sSubPr>
                  <m:e>
                    <m:r>
                      <w:rPr>
                        <w:rFonts w:ascii="Cambria Math" w:hAnsi="Cambria Math" w:cs="Arial"/>
                      </w:rPr>
                      <m:t>P</m:t>
                    </m:r>
                  </m:e>
                  <m:sub>
                    <m:r>
                      <w:rPr>
                        <w:rFonts w:ascii="Cambria Math" w:hAnsi="Cambria Math" w:cs="Arial"/>
                      </w:rPr>
                      <m:t>SSB</m:t>
                    </m:r>
                  </m:sub>
                </m:sSub>
              </m:oMath>
            </m:oMathPara>
          </w:p>
        </w:tc>
        <w:tc>
          <w:tcPr>
            <w:tcW w:w="1984" w:type="dxa"/>
          </w:tcPr>
          <w:p w14:paraId="39D5617A" w14:textId="77777777" w:rsidR="00E82E6B" w:rsidRPr="00826399" w:rsidRDefault="00E82E6B" w:rsidP="005F3871">
            <w:pPr>
              <w:spacing w:after="0"/>
              <w:ind w:rightChars="50" w:right="100"/>
              <w:jc w:val="center"/>
              <w:rPr>
                <w:rFonts w:ascii="Arial" w:hAnsi="Arial" w:cs="Arial"/>
              </w:rPr>
            </w:pPr>
            <w:r w:rsidRPr="00826399">
              <w:rPr>
                <w:rFonts w:ascii="Arial" w:hAnsi="Arial" w:cs="Arial"/>
              </w:rPr>
              <w:t>50</w:t>
            </w:r>
          </w:p>
        </w:tc>
        <w:tc>
          <w:tcPr>
            <w:tcW w:w="1277" w:type="dxa"/>
          </w:tcPr>
          <w:p w14:paraId="4A095A24" w14:textId="77777777" w:rsidR="00E82E6B" w:rsidRPr="00826399" w:rsidRDefault="004D2BF9" w:rsidP="005F3871">
            <w:pPr>
              <w:spacing w:after="0"/>
              <w:ind w:rightChars="50" w:right="100"/>
              <w:jc w:val="center"/>
              <w:rPr>
                <w:rFonts w:ascii="Arial" w:hAnsi="Arial" w:cs="Arial"/>
              </w:rPr>
            </w:pPr>
            <m:oMathPara>
              <m:oMath>
                <m:sSub>
                  <m:sSubPr>
                    <m:ctrlPr>
                      <w:rPr>
                        <w:rFonts w:ascii="Cambria Math" w:hAnsi="Cambria Math" w:cs="Arial"/>
                        <w:i/>
                      </w:rPr>
                    </m:ctrlPr>
                  </m:sSubPr>
                  <m:e>
                    <m:r>
                      <w:rPr>
                        <w:rFonts w:ascii="Cambria Math" w:hAnsi="Cambria Math" w:cs="Arial"/>
                      </w:rPr>
                      <m:t>T</m:t>
                    </m:r>
                  </m:e>
                  <m:sub>
                    <m:r>
                      <w:rPr>
                        <w:rFonts w:ascii="Cambria Math" w:hAnsi="Cambria Math" w:cs="Arial"/>
                      </w:rPr>
                      <m:t>SSB</m:t>
                    </m:r>
                  </m:sub>
                </m:sSub>
              </m:oMath>
            </m:oMathPara>
          </w:p>
        </w:tc>
        <w:tc>
          <w:tcPr>
            <w:tcW w:w="1842" w:type="dxa"/>
          </w:tcPr>
          <w:p w14:paraId="63D3E23B" w14:textId="77777777" w:rsidR="00E82E6B" w:rsidRPr="00826399" w:rsidRDefault="00E82E6B" w:rsidP="005F3871">
            <w:pPr>
              <w:ind w:rightChars="50" w:right="100"/>
              <w:jc w:val="center"/>
              <w:rPr>
                <w:rFonts w:ascii="Arial" w:eastAsia="PMingLiU" w:hAnsi="Arial" w:cs="Arial"/>
              </w:rPr>
            </w:pPr>
            <w:r>
              <w:rPr>
                <w:rFonts w:ascii="Arial" w:eastAsia="PMingLiU" w:hAnsi="Arial" w:cs="Arial" w:hint="eastAsia"/>
              </w:rPr>
              <w:t>2</w:t>
            </w:r>
            <w:r>
              <w:rPr>
                <w:rFonts w:ascii="Arial" w:eastAsia="PMingLiU" w:hAnsi="Arial" w:cs="Arial"/>
              </w:rPr>
              <w:t>/4</w:t>
            </w:r>
          </w:p>
        </w:tc>
      </w:tr>
      <w:tr w:rsidR="00E82E6B" w:rsidRPr="00826399" w14:paraId="00745A85" w14:textId="77777777" w:rsidTr="005F3871">
        <w:trPr>
          <w:jc w:val="center"/>
        </w:trPr>
        <w:tc>
          <w:tcPr>
            <w:tcW w:w="2263" w:type="dxa"/>
          </w:tcPr>
          <w:p w14:paraId="188621D1" w14:textId="77777777" w:rsidR="00E82E6B" w:rsidRPr="00826399" w:rsidRDefault="00E82E6B" w:rsidP="005F3871">
            <w:pPr>
              <w:spacing w:after="0"/>
              <w:ind w:rightChars="50" w:right="100"/>
              <w:jc w:val="center"/>
              <w:rPr>
                <w:rFonts w:ascii="Arial" w:hAnsi="Arial" w:cs="Arial"/>
              </w:rPr>
            </w:pPr>
            <w:r w:rsidRPr="00826399">
              <w:rPr>
                <w:rFonts w:ascii="Arial" w:hAnsi="Arial" w:cs="Arial"/>
              </w:rPr>
              <w:t>Intra-frequency neighbor cell measurement</w:t>
            </w:r>
          </w:p>
        </w:tc>
        <w:tc>
          <w:tcPr>
            <w:tcW w:w="1134" w:type="dxa"/>
          </w:tcPr>
          <w:p w14:paraId="6CCC2072" w14:textId="77777777" w:rsidR="00E82E6B" w:rsidRPr="00826399" w:rsidRDefault="004D2BF9" w:rsidP="005F3871">
            <w:pPr>
              <w:spacing w:after="0"/>
              <w:ind w:rightChars="50" w:right="100"/>
              <w:jc w:val="center"/>
              <w:rPr>
                <w:rFonts w:ascii="Arial" w:hAnsi="Arial" w:cs="Arial"/>
              </w:rPr>
            </w:pPr>
            <m:oMathPara>
              <m:oMath>
                <m:sSub>
                  <m:sSubPr>
                    <m:ctrlPr>
                      <w:rPr>
                        <w:rFonts w:ascii="Cambria Math" w:hAnsi="Cambria Math" w:cs="Arial"/>
                        <w:i/>
                      </w:rPr>
                    </m:ctrlPr>
                  </m:sSubPr>
                  <m:e>
                    <m:r>
                      <w:rPr>
                        <w:rFonts w:ascii="Cambria Math" w:hAnsi="Cambria Math" w:cs="Arial"/>
                      </w:rPr>
                      <m:t>P</m:t>
                    </m:r>
                  </m:e>
                  <m:sub>
                    <m:r>
                      <w:rPr>
                        <w:rFonts w:ascii="Cambria Math" w:hAnsi="Cambria Math" w:cs="Arial"/>
                      </w:rPr>
                      <m:t>Intra</m:t>
                    </m:r>
                    <m:r>
                      <w:rPr>
                        <w:rFonts w:ascii="Cambria Math" w:hAnsi="Cambria Math" w:cs="Arial" w:hint="eastAsia"/>
                      </w:rPr>
                      <m:t>F</m:t>
                    </m:r>
                  </m:sub>
                </m:sSub>
              </m:oMath>
            </m:oMathPara>
          </w:p>
        </w:tc>
        <w:tc>
          <w:tcPr>
            <w:tcW w:w="1984" w:type="dxa"/>
          </w:tcPr>
          <w:p w14:paraId="6E05A73A" w14:textId="77777777" w:rsidR="00E82E6B" w:rsidRPr="00826399" w:rsidRDefault="00E82E6B" w:rsidP="005F3871">
            <w:pPr>
              <w:spacing w:after="0"/>
              <w:ind w:rightChars="50" w:right="100"/>
              <w:jc w:val="center"/>
              <w:rPr>
                <w:rFonts w:ascii="Arial" w:hAnsi="Arial" w:cs="Arial"/>
              </w:rPr>
            </w:pPr>
            <w:r w:rsidRPr="00826399">
              <w:rPr>
                <w:rFonts w:ascii="Arial" w:hAnsi="Arial" w:cs="Arial"/>
              </w:rPr>
              <w:t>60</w:t>
            </w:r>
          </w:p>
        </w:tc>
        <w:tc>
          <w:tcPr>
            <w:tcW w:w="1277" w:type="dxa"/>
          </w:tcPr>
          <w:p w14:paraId="69ED58F9" w14:textId="77777777" w:rsidR="00E82E6B" w:rsidRPr="00826399" w:rsidRDefault="004D2BF9" w:rsidP="005F3871">
            <w:pPr>
              <w:spacing w:after="0"/>
              <w:ind w:rightChars="50" w:right="100"/>
              <w:jc w:val="center"/>
              <w:rPr>
                <w:rFonts w:ascii="Arial" w:hAnsi="Arial" w:cs="Arial"/>
              </w:rPr>
            </w:pPr>
            <m:oMathPara>
              <m:oMath>
                <m:sSub>
                  <m:sSubPr>
                    <m:ctrlPr>
                      <w:rPr>
                        <w:rFonts w:ascii="Cambria Math" w:hAnsi="Cambria Math" w:cs="Arial"/>
                        <w:i/>
                      </w:rPr>
                    </m:ctrlPr>
                  </m:sSubPr>
                  <m:e>
                    <m:r>
                      <w:rPr>
                        <w:rFonts w:ascii="Cambria Math" w:hAnsi="Cambria Math" w:cs="Arial"/>
                      </w:rPr>
                      <m:t>T</m:t>
                    </m:r>
                  </m:e>
                  <m:sub>
                    <m:r>
                      <w:rPr>
                        <w:rFonts w:ascii="Cambria Math" w:hAnsi="Cambria Math" w:cs="Arial"/>
                      </w:rPr>
                      <m:t>IntraF</m:t>
                    </m:r>
                  </m:sub>
                </m:sSub>
              </m:oMath>
            </m:oMathPara>
          </w:p>
        </w:tc>
        <w:tc>
          <w:tcPr>
            <w:tcW w:w="1842" w:type="dxa"/>
          </w:tcPr>
          <w:p w14:paraId="517B40DE" w14:textId="77777777" w:rsidR="00E82E6B" w:rsidRPr="00826399" w:rsidRDefault="00E82E6B" w:rsidP="005F3871">
            <w:pPr>
              <w:ind w:rightChars="50" w:right="100"/>
              <w:jc w:val="center"/>
              <w:rPr>
                <w:rFonts w:ascii="Arial" w:hAnsi="Arial" w:cs="Arial"/>
              </w:rPr>
            </w:pPr>
            <w:r>
              <w:rPr>
                <w:rFonts w:ascii="Arial" w:hAnsi="Arial" w:cs="Arial" w:hint="eastAsia"/>
              </w:rPr>
              <w:t>2</w:t>
            </w:r>
          </w:p>
        </w:tc>
      </w:tr>
      <w:tr w:rsidR="00E82E6B" w:rsidRPr="00826399" w14:paraId="6D005655" w14:textId="77777777" w:rsidTr="005F3871">
        <w:trPr>
          <w:trHeight w:val="42"/>
          <w:jc w:val="center"/>
        </w:trPr>
        <w:tc>
          <w:tcPr>
            <w:tcW w:w="2263" w:type="dxa"/>
          </w:tcPr>
          <w:p w14:paraId="0AC159F1" w14:textId="77777777" w:rsidR="00E82E6B" w:rsidRPr="00826399" w:rsidRDefault="00E82E6B" w:rsidP="005F3871">
            <w:pPr>
              <w:spacing w:after="0"/>
              <w:contextualSpacing/>
              <w:jc w:val="center"/>
              <w:rPr>
                <w:rFonts w:ascii="Arial" w:hAnsi="Arial" w:cs="Arial"/>
              </w:rPr>
            </w:pPr>
            <w:r w:rsidRPr="00826399">
              <w:rPr>
                <w:rFonts w:ascii="Arial" w:hAnsi="Arial" w:cs="Arial"/>
              </w:rPr>
              <w:t>Paging occasion reception</w:t>
            </w:r>
          </w:p>
        </w:tc>
        <w:tc>
          <w:tcPr>
            <w:tcW w:w="1134" w:type="dxa"/>
          </w:tcPr>
          <w:p w14:paraId="36A419D1" w14:textId="77777777" w:rsidR="00E82E6B" w:rsidRPr="00826399" w:rsidRDefault="004D2BF9" w:rsidP="005F3871">
            <w:pPr>
              <w:spacing w:after="0"/>
              <w:contextualSpacing/>
              <w:jc w:val="center"/>
              <w:rPr>
                <w:rFonts w:ascii="Arial" w:hAnsi="Arial" w:cs="Arial"/>
              </w:rPr>
            </w:pPr>
            <m:oMathPara>
              <m:oMath>
                <m:sSub>
                  <m:sSubPr>
                    <m:ctrlPr>
                      <w:rPr>
                        <w:rFonts w:ascii="Cambria Math" w:hAnsi="Cambria Math" w:cs="Arial"/>
                        <w:i/>
                      </w:rPr>
                    </m:ctrlPr>
                  </m:sSubPr>
                  <m:e>
                    <m:r>
                      <w:rPr>
                        <w:rFonts w:ascii="Cambria Math" w:hAnsi="Cambria Math" w:cs="Arial"/>
                      </w:rPr>
                      <m:t>P</m:t>
                    </m:r>
                  </m:e>
                  <m:sub>
                    <m:r>
                      <w:rPr>
                        <w:rFonts w:ascii="Cambria Math" w:hAnsi="Cambria Math" w:cs="Arial"/>
                      </w:rPr>
                      <m:t>PO</m:t>
                    </m:r>
                  </m:sub>
                </m:sSub>
              </m:oMath>
            </m:oMathPara>
          </w:p>
        </w:tc>
        <w:tc>
          <w:tcPr>
            <w:tcW w:w="1984" w:type="dxa"/>
          </w:tcPr>
          <w:p w14:paraId="507F2CCC" w14:textId="77777777" w:rsidR="00E82E6B" w:rsidRPr="00826399" w:rsidRDefault="00E82E6B" w:rsidP="005F3871">
            <w:pPr>
              <w:spacing w:after="0"/>
              <w:contextualSpacing/>
              <w:jc w:val="center"/>
              <w:rPr>
                <w:rFonts w:ascii="Arial" w:hAnsi="Arial" w:cs="Arial"/>
              </w:rPr>
            </w:pPr>
            <w:r w:rsidRPr="00826399">
              <w:rPr>
                <w:rFonts w:ascii="Arial" w:hAnsi="Arial" w:cs="Arial"/>
              </w:rPr>
              <w:t>50/120</w:t>
            </w:r>
            <w:r>
              <w:rPr>
                <w:rFonts w:ascii="Arial" w:hAnsi="Arial" w:cs="Arial"/>
              </w:rPr>
              <w:t xml:space="preserve"> </w:t>
            </w:r>
            <w:r w:rsidRPr="00826399">
              <w:rPr>
                <w:rFonts w:ascii="Arial" w:hAnsi="Arial" w:cs="Arial"/>
              </w:rPr>
              <w:t>(without/</w:t>
            </w:r>
            <w:r>
              <w:rPr>
                <w:rFonts w:ascii="Arial" w:hAnsi="Arial" w:cs="Arial"/>
              </w:rPr>
              <w:t xml:space="preserve"> wi</w:t>
            </w:r>
            <w:r w:rsidRPr="00826399">
              <w:rPr>
                <w:rFonts w:ascii="Arial" w:hAnsi="Arial" w:cs="Arial"/>
              </w:rPr>
              <w:t>th PDSCH)</w:t>
            </w:r>
          </w:p>
        </w:tc>
        <w:tc>
          <w:tcPr>
            <w:tcW w:w="1277" w:type="dxa"/>
          </w:tcPr>
          <w:p w14:paraId="39E66361" w14:textId="77777777" w:rsidR="00E82E6B" w:rsidRPr="00826399" w:rsidRDefault="004D2BF9" w:rsidP="005F3871">
            <w:pPr>
              <w:spacing w:after="0"/>
              <w:contextualSpacing/>
              <w:jc w:val="center"/>
              <w:rPr>
                <w:rFonts w:ascii="Arial" w:hAnsi="Arial" w:cs="Arial"/>
              </w:rPr>
            </w:pPr>
            <m:oMathPara>
              <m:oMath>
                <m:sSub>
                  <m:sSubPr>
                    <m:ctrlPr>
                      <w:rPr>
                        <w:rFonts w:ascii="Cambria Math" w:hAnsi="Cambria Math" w:cs="Arial"/>
                        <w:i/>
                      </w:rPr>
                    </m:ctrlPr>
                  </m:sSubPr>
                  <m:e>
                    <m:r>
                      <w:rPr>
                        <w:rFonts w:ascii="Cambria Math" w:hAnsi="Cambria Math" w:cs="Arial"/>
                      </w:rPr>
                      <m:t>T</m:t>
                    </m:r>
                  </m:e>
                  <m:sub>
                    <m:r>
                      <w:rPr>
                        <w:rFonts w:ascii="Cambria Math" w:hAnsi="Cambria Math" w:cs="Arial"/>
                      </w:rPr>
                      <m:t>PO</m:t>
                    </m:r>
                  </m:sub>
                </m:sSub>
              </m:oMath>
            </m:oMathPara>
          </w:p>
        </w:tc>
        <w:tc>
          <w:tcPr>
            <w:tcW w:w="1842" w:type="dxa"/>
          </w:tcPr>
          <w:p w14:paraId="567F4ED6" w14:textId="77777777" w:rsidR="00E82E6B" w:rsidRPr="00826399" w:rsidRDefault="00E82E6B" w:rsidP="005F3871">
            <w:pPr>
              <w:spacing w:after="0"/>
              <w:contextualSpacing/>
              <w:jc w:val="center"/>
              <w:rPr>
                <w:rFonts w:ascii="Arial" w:hAnsi="Arial" w:cs="Arial"/>
              </w:rPr>
            </w:pPr>
            <w:r w:rsidRPr="00826399">
              <w:rPr>
                <w:rFonts w:ascii="Arial" w:hAnsi="Arial" w:cs="Arial"/>
              </w:rPr>
              <w:t>1/4</w:t>
            </w:r>
            <w:r>
              <w:rPr>
                <w:rFonts w:ascii="Arial" w:hAnsi="Arial" w:cs="Arial" w:hint="eastAsia"/>
              </w:rPr>
              <w:t xml:space="preserve"> </w:t>
            </w:r>
            <w:r>
              <w:rPr>
                <w:rFonts w:ascii="Arial" w:hAnsi="Arial" w:cs="Arial"/>
              </w:rPr>
              <w:t xml:space="preserve">(high/ low </w:t>
            </w:r>
            <w:r w:rsidRPr="00826399">
              <w:rPr>
                <w:rFonts w:ascii="Arial" w:hAnsi="Arial" w:cs="Arial"/>
              </w:rPr>
              <w:t>SINR)</w:t>
            </w:r>
          </w:p>
        </w:tc>
      </w:tr>
      <w:tr w:rsidR="00E82E6B" w:rsidRPr="00826399" w14:paraId="070EE83D" w14:textId="77777777" w:rsidTr="005F3871">
        <w:trPr>
          <w:jc w:val="center"/>
        </w:trPr>
        <w:tc>
          <w:tcPr>
            <w:tcW w:w="2263" w:type="dxa"/>
          </w:tcPr>
          <w:p w14:paraId="40FCFEFA" w14:textId="77777777" w:rsidR="00E82E6B" w:rsidRPr="00826399" w:rsidRDefault="00E82E6B" w:rsidP="005F3871">
            <w:pPr>
              <w:contextualSpacing/>
              <w:jc w:val="center"/>
              <w:rPr>
                <w:rFonts w:ascii="Arial" w:hAnsi="Arial" w:cs="Arial"/>
              </w:rPr>
            </w:pPr>
            <w:r w:rsidRPr="00826399">
              <w:rPr>
                <w:rFonts w:ascii="Arial" w:hAnsi="Arial" w:cs="Arial"/>
              </w:rPr>
              <w:t>Inter-frequency neighbor cell</w:t>
            </w:r>
          </w:p>
          <w:p w14:paraId="44CE9FA7" w14:textId="77777777" w:rsidR="00E82E6B" w:rsidRPr="00826399" w:rsidRDefault="00E82E6B" w:rsidP="005F3871">
            <w:pPr>
              <w:spacing w:after="0"/>
              <w:contextualSpacing/>
              <w:jc w:val="center"/>
              <w:rPr>
                <w:rFonts w:ascii="Arial" w:hAnsi="Arial" w:cs="Arial"/>
              </w:rPr>
            </w:pPr>
            <w:r w:rsidRPr="00826399">
              <w:rPr>
                <w:rFonts w:ascii="Arial" w:hAnsi="Arial" w:cs="Arial"/>
              </w:rPr>
              <w:t>measurement</w:t>
            </w:r>
          </w:p>
        </w:tc>
        <w:tc>
          <w:tcPr>
            <w:tcW w:w="1134" w:type="dxa"/>
          </w:tcPr>
          <w:p w14:paraId="45CF938C" w14:textId="77777777" w:rsidR="00E82E6B" w:rsidRPr="00826399" w:rsidRDefault="004D2BF9" w:rsidP="005F3871">
            <w:pPr>
              <w:spacing w:after="0"/>
              <w:contextualSpacing/>
              <w:jc w:val="center"/>
              <w:rPr>
                <w:rFonts w:ascii="Arial" w:hAnsi="Arial" w:cs="Arial"/>
              </w:rPr>
            </w:pPr>
            <m:oMathPara>
              <m:oMath>
                <m:sSub>
                  <m:sSubPr>
                    <m:ctrlPr>
                      <w:rPr>
                        <w:rFonts w:ascii="Cambria Math" w:hAnsi="Cambria Math" w:cs="Arial"/>
                        <w:i/>
                      </w:rPr>
                    </m:ctrlPr>
                  </m:sSubPr>
                  <m:e>
                    <m:r>
                      <w:rPr>
                        <w:rFonts w:ascii="Cambria Math" w:hAnsi="Cambria Math" w:cs="Arial"/>
                      </w:rPr>
                      <m:t>P</m:t>
                    </m:r>
                  </m:e>
                  <m:sub>
                    <m:r>
                      <w:rPr>
                        <w:rFonts w:ascii="Cambria Math" w:hAnsi="Cambria Math" w:cs="Arial"/>
                      </w:rPr>
                      <m:t>Inter</m:t>
                    </m:r>
                  </m:sub>
                </m:sSub>
              </m:oMath>
            </m:oMathPara>
          </w:p>
        </w:tc>
        <w:tc>
          <w:tcPr>
            <w:tcW w:w="1984" w:type="dxa"/>
          </w:tcPr>
          <w:p w14:paraId="475C3F72" w14:textId="77777777" w:rsidR="00E82E6B" w:rsidRPr="00826399" w:rsidRDefault="00E82E6B" w:rsidP="005F3871">
            <w:pPr>
              <w:spacing w:after="0"/>
              <w:contextualSpacing/>
              <w:jc w:val="center"/>
              <w:rPr>
                <w:rFonts w:ascii="Arial" w:hAnsi="Arial" w:cs="Arial"/>
              </w:rPr>
            </w:pPr>
            <w:r w:rsidRPr="00826399">
              <w:rPr>
                <w:rFonts w:ascii="Arial" w:hAnsi="Arial" w:cs="Arial"/>
              </w:rPr>
              <w:t>60</w:t>
            </w:r>
          </w:p>
        </w:tc>
        <w:tc>
          <w:tcPr>
            <w:tcW w:w="1277" w:type="dxa"/>
          </w:tcPr>
          <w:p w14:paraId="38FACD3C" w14:textId="77777777" w:rsidR="00E82E6B" w:rsidRPr="00826399" w:rsidRDefault="004D2BF9" w:rsidP="005F3871">
            <w:pPr>
              <w:spacing w:after="0"/>
              <w:contextualSpacing/>
              <w:jc w:val="center"/>
              <w:rPr>
                <w:rFonts w:ascii="Arial" w:hAnsi="Arial" w:cs="Arial"/>
              </w:rPr>
            </w:pPr>
            <m:oMathPara>
              <m:oMath>
                <m:sSub>
                  <m:sSubPr>
                    <m:ctrlPr>
                      <w:rPr>
                        <w:rFonts w:ascii="Cambria Math" w:hAnsi="Cambria Math" w:cs="Arial"/>
                        <w:i/>
                      </w:rPr>
                    </m:ctrlPr>
                  </m:sSubPr>
                  <m:e>
                    <m:r>
                      <w:rPr>
                        <w:rFonts w:ascii="Cambria Math" w:hAnsi="Cambria Math" w:cs="Arial"/>
                      </w:rPr>
                      <m:t>T</m:t>
                    </m:r>
                  </m:e>
                  <m:sub>
                    <m:r>
                      <w:rPr>
                        <w:rFonts w:ascii="Cambria Math" w:hAnsi="Cambria Math" w:cs="Arial"/>
                      </w:rPr>
                      <m:t>InterF</m:t>
                    </m:r>
                  </m:sub>
                </m:sSub>
              </m:oMath>
            </m:oMathPara>
          </w:p>
        </w:tc>
        <w:tc>
          <w:tcPr>
            <w:tcW w:w="1842" w:type="dxa"/>
          </w:tcPr>
          <w:p w14:paraId="08A041F4" w14:textId="77777777" w:rsidR="00E82E6B" w:rsidRPr="00826399" w:rsidRDefault="00E82E6B" w:rsidP="005F3871">
            <w:pPr>
              <w:spacing w:after="0"/>
              <w:contextualSpacing/>
              <w:jc w:val="center"/>
              <w:rPr>
                <w:rFonts w:ascii="Arial" w:hAnsi="Arial" w:cs="Arial"/>
              </w:rPr>
            </w:pPr>
            <w:r>
              <w:rPr>
                <w:rFonts w:ascii="Arial" w:hAnsi="Arial" w:cs="Arial" w:hint="eastAsia"/>
              </w:rPr>
              <w:t>5</w:t>
            </w:r>
          </w:p>
        </w:tc>
      </w:tr>
      <w:tr w:rsidR="00E82E6B" w:rsidRPr="00826399" w14:paraId="7C78B2D8" w14:textId="77777777" w:rsidTr="005F3871">
        <w:trPr>
          <w:jc w:val="center"/>
        </w:trPr>
        <w:tc>
          <w:tcPr>
            <w:tcW w:w="2263" w:type="dxa"/>
          </w:tcPr>
          <w:p w14:paraId="61F02148" w14:textId="77777777" w:rsidR="00E82E6B" w:rsidRPr="00826399" w:rsidRDefault="00E82E6B" w:rsidP="005F3871">
            <w:pPr>
              <w:contextualSpacing/>
              <w:jc w:val="center"/>
              <w:rPr>
                <w:rFonts w:ascii="Arial" w:hAnsi="Arial" w:cs="Arial"/>
              </w:rPr>
            </w:pPr>
            <w:r>
              <w:rPr>
                <w:rFonts w:ascii="Arial" w:hAnsi="Arial" w:cs="Arial"/>
              </w:rPr>
              <w:t>Micro</w:t>
            </w:r>
            <w:r w:rsidRPr="00826399">
              <w:rPr>
                <w:rFonts w:ascii="Arial" w:hAnsi="Arial" w:cs="Arial"/>
              </w:rPr>
              <w:t xml:space="preserve"> sleep</w:t>
            </w:r>
          </w:p>
        </w:tc>
        <w:tc>
          <w:tcPr>
            <w:tcW w:w="1134" w:type="dxa"/>
          </w:tcPr>
          <w:p w14:paraId="5439BF0A" w14:textId="77777777" w:rsidR="00E82E6B" w:rsidRPr="00AC7CB0" w:rsidRDefault="004D2BF9" w:rsidP="005F3871">
            <w:pPr>
              <w:contextualSpacing/>
              <w:jc w:val="center"/>
              <w:rPr>
                <w:rFonts w:ascii="Arial" w:eastAsia="PMingLiU" w:hAnsi="Arial" w:cs="Arial"/>
              </w:rPr>
            </w:pPr>
            <m:oMathPara>
              <m:oMath>
                <m:sSub>
                  <m:sSubPr>
                    <m:ctrlPr>
                      <w:rPr>
                        <w:rFonts w:ascii="Cambria Math" w:hAnsi="Cambria Math"/>
                        <w:i/>
                      </w:rPr>
                    </m:ctrlPr>
                  </m:sSubPr>
                  <m:e>
                    <m:r>
                      <w:rPr>
                        <w:rFonts w:ascii="Cambria Math" w:hAnsi="Cambria Math"/>
                      </w:rPr>
                      <m:t>P</m:t>
                    </m:r>
                  </m:e>
                  <m:sub>
                    <m:r>
                      <w:rPr>
                        <w:rFonts w:ascii="Cambria Math" w:hAnsi="Cambria Math"/>
                      </w:rPr>
                      <m:t>MS</m:t>
                    </m:r>
                  </m:sub>
                </m:sSub>
              </m:oMath>
            </m:oMathPara>
          </w:p>
        </w:tc>
        <w:tc>
          <w:tcPr>
            <w:tcW w:w="1984" w:type="dxa"/>
          </w:tcPr>
          <w:p w14:paraId="4662D473" w14:textId="77777777" w:rsidR="00E82E6B" w:rsidRDefault="00E82E6B" w:rsidP="005F3871">
            <w:pPr>
              <w:contextualSpacing/>
              <w:jc w:val="center"/>
              <w:rPr>
                <w:rFonts w:ascii="Arial" w:hAnsi="Arial" w:cs="Arial"/>
              </w:rPr>
            </w:pPr>
            <w:r>
              <w:rPr>
                <w:rFonts w:ascii="Arial" w:hAnsi="Arial" w:cs="Arial" w:hint="eastAsia"/>
              </w:rPr>
              <w:t>45</w:t>
            </w:r>
          </w:p>
        </w:tc>
        <w:tc>
          <w:tcPr>
            <w:tcW w:w="1277" w:type="dxa"/>
          </w:tcPr>
          <w:p w14:paraId="587D163E" w14:textId="77777777" w:rsidR="00E82E6B" w:rsidRPr="00AC7CB0" w:rsidRDefault="004D2BF9" w:rsidP="005F3871">
            <w:pPr>
              <w:contextualSpacing/>
              <w:jc w:val="center"/>
              <w:rPr>
                <w:rFonts w:ascii="Arial" w:eastAsia="PMingLiU" w:hAnsi="Arial" w:cs="Arial"/>
              </w:rPr>
            </w:pPr>
            <m:oMathPara>
              <m:oMath>
                <m:sSub>
                  <m:sSubPr>
                    <m:ctrlPr>
                      <w:rPr>
                        <w:rFonts w:ascii="Cambria Math" w:hAnsi="Cambria Math"/>
                        <w:i/>
                      </w:rPr>
                    </m:ctrlPr>
                  </m:sSubPr>
                  <m:e>
                    <m:r>
                      <w:rPr>
                        <w:rFonts w:ascii="Cambria Math" w:hAnsi="Cambria Math"/>
                      </w:rPr>
                      <m:t>T</m:t>
                    </m:r>
                  </m:e>
                  <m:sub>
                    <m:r>
                      <w:rPr>
                        <w:rFonts w:ascii="Cambria Math" w:hAnsi="Cambria Math"/>
                      </w:rPr>
                      <m:t>MS</m:t>
                    </m:r>
                  </m:sub>
                </m:sSub>
              </m:oMath>
            </m:oMathPara>
          </w:p>
        </w:tc>
        <w:tc>
          <w:tcPr>
            <w:tcW w:w="1842" w:type="dxa"/>
          </w:tcPr>
          <w:p w14:paraId="51CB39E4" w14:textId="77777777" w:rsidR="00E82E6B" w:rsidRDefault="00E82E6B" w:rsidP="005F3871">
            <w:pPr>
              <w:contextualSpacing/>
              <w:jc w:val="center"/>
              <w:rPr>
                <w:rFonts w:ascii="Arial" w:hAnsi="Arial" w:cs="Arial"/>
              </w:rPr>
            </w:pPr>
            <w:r>
              <w:rPr>
                <w:rFonts w:ascii="Arial" w:hAnsi="Arial" w:cs="Arial" w:hint="eastAsia"/>
              </w:rPr>
              <w:t>(</w:t>
            </w:r>
            <w:r>
              <w:rPr>
                <w:rFonts w:ascii="Arial" w:hAnsi="Arial" w:cs="Arial"/>
              </w:rPr>
              <w:t>*)</w:t>
            </w:r>
          </w:p>
        </w:tc>
      </w:tr>
      <w:tr w:rsidR="00E82E6B" w:rsidRPr="00826399" w14:paraId="6A928334" w14:textId="77777777" w:rsidTr="005F3871">
        <w:trPr>
          <w:jc w:val="center"/>
        </w:trPr>
        <w:tc>
          <w:tcPr>
            <w:tcW w:w="2263" w:type="dxa"/>
          </w:tcPr>
          <w:p w14:paraId="3D721290" w14:textId="77777777" w:rsidR="00E82E6B" w:rsidRPr="00826399" w:rsidRDefault="00E82E6B" w:rsidP="005F3871">
            <w:pPr>
              <w:spacing w:after="0"/>
              <w:contextualSpacing/>
              <w:jc w:val="center"/>
              <w:rPr>
                <w:rFonts w:ascii="Arial" w:hAnsi="Arial" w:cs="Arial"/>
              </w:rPr>
            </w:pPr>
            <w:r w:rsidRPr="00826399">
              <w:rPr>
                <w:rFonts w:ascii="Arial" w:hAnsi="Arial" w:cs="Arial"/>
              </w:rPr>
              <w:t>Light sleep</w:t>
            </w:r>
          </w:p>
        </w:tc>
        <w:tc>
          <w:tcPr>
            <w:tcW w:w="1134" w:type="dxa"/>
          </w:tcPr>
          <w:p w14:paraId="5C3EEF29" w14:textId="77777777" w:rsidR="00E82E6B" w:rsidRPr="00826399" w:rsidRDefault="004D2BF9" w:rsidP="005F3871">
            <w:pPr>
              <w:spacing w:after="0"/>
              <w:contextualSpacing/>
              <w:jc w:val="center"/>
              <w:rPr>
                <w:rFonts w:ascii="Arial" w:hAnsi="Arial" w:cs="Arial"/>
              </w:rPr>
            </w:pPr>
            <m:oMathPara>
              <m:oMath>
                <m:sSub>
                  <m:sSubPr>
                    <m:ctrlPr>
                      <w:rPr>
                        <w:rFonts w:ascii="Cambria Math" w:hAnsi="Cambria Math"/>
                        <w:i/>
                      </w:rPr>
                    </m:ctrlPr>
                  </m:sSubPr>
                  <m:e>
                    <m:r>
                      <w:rPr>
                        <w:rFonts w:ascii="Cambria Math" w:hAnsi="Cambria Math"/>
                      </w:rPr>
                      <m:t>P</m:t>
                    </m:r>
                  </m:e>
                  <m:sub>
                    <m:r>
                      <w:rPr>
                        <w:rFonts w:ascii="Cambria Math" w:hAnsi="Cambria Math"/>
                      </w:rPr>
                      <m:t>LS</m:t>
                    </m:r>
                  </m:sub>
                </m:sSub>
              </m:oMath>
            </m:oMathPara>
          </w:p>
        </w:tc>
        <w:tc>
          <w:tcPr>
            <w:tcW w:w="1984" w:type="dxa"/>
          </w:tcPr>
          <w:p w14:paraId="7569D15B" w14:textId="77777777" w:rsidR="00E82E6B" w:rsidRPr="00826399" w:rsidRDefault="00E82E6B" w:rsidP="005F3871">
            <w:pPr>
              <w:spacing w:after="0"/>
              <w:contextualSpacing/>
              <w:jc w:val="center"/>
              <w:rPr>
                <w:rFonts w:ascii="Arial" w:hAnsi="Arial" w:cs="Arial"/>
              </w:rPr>
            </w:pPr>
            <w:r>
              <w:rPr>
                <w:rFonts w:ascii="Arial" w:hAnsi="Arial" w:cs="Arial" w:hint="eastAsia"/>
              </w:rPr>
              <w:t>2</w:t>
            </w:r>
            <w:r>
              <w:rPr>
                <w:rFonts w:ascii="Arial" w:hAnsi="Arial" w:cs="Arial"/>
              </w:rPr>
              <w:t>0</w:t>
            </w:r>
          </w:p>
        </w:tc>
        <w:tc>
          <w:tcPr>
            <w:tcW w:w="1277" w:type="dxa"/>
          </w:tcPr>
          <w:p w14:paraId="77918B9D" w14:textId="77777777" w:rsidR="00E82E6B" w:rsidRPr="00826399" w:rsidRDefault="004D2BF9" w:rsidP="005F3871">
            <w:pPr>
              <w:spacing w:after="0"/>
              <w:contextualSpacing/>
              <w:jc w:val="center"/>
              <w:rPr>
                <w:rFonts w:ascii="Arial" w:hAnsi="Arial" w:cs="Arial"/>
              </w:rPr>
            </w:pPr>
            <m:oMathPara>
              <m:oMath>
                <m:sSub>
                  <m:sSubPr>
                    <m:ctrlPr>
                      <w:rPr>
                        <w:rFonts w:ascii="Cambria Math" w:hAnsi="Cambria Math"/>
                        <w:i/>
                      </w:rPr>
                    </m:ctrlPr>
                  </m:sSubPr>
                  <m:e>
                    <m:r>
                      <w:rPr>
                        <w:rFonts w:ascii="Cambria Math" w:hAnsi="Cambria Math"/>
                      </w:rPr>
                      <m:t>T</m:t>
                    </m:r>
                  </m:e>
                  <m:sub>
                    <m:r>
                      <w:rPr>
                        <w:rFonts w:ascii="Cambria Math" w:hAnsi="Cambria Math"/>
                      </w:rPr>
                      <m:t>LS</m:t>
                    </m:r>
                  </m:sub>
                </m:sSub>
              </m:oMath>
            </m:oMathPara>
          </w:p>
        </w:tc>
        <w:tc>
          <w:tcPr>
            <w:tcW w:w="1842" w:type="dxa"/>
          </w:tcPr>
          <w:p w14:paraId="25A5F41B" w14:textId="77777777" w:rsidR="00E82E6B" w:rsidRPr="00826399" w:rsidRDefault="00E82E6B" w:rsidP="005F3871">
            <w:pPr>
              <w:spacing w:after="0"/>
              <w:contextualSpacing/>
              <w:jc w:val="center"/>
              <w:rPr>
                <w:rFonts w:ascii="Arial" w:hAnsi="Arial" w:cs="Arial"/>
              </w:rPr>
            </w:pPr>
            <w:r>
              <w:rPr>
                <w:rFonts w:ascii="Arial" w:hAnsi="Arial" w:cs="Arial" w:hint="eastAsia"/>
              </w:rPr>
              <w:t>(</w:t>
            </w:r>
            <w:r>
              <w:rPr>
                <w:rFonts w:ascii="Arial" w:hAnsi="Arial" w:cs="Arial"/>
              </w:rPr>
              <w:t>*)</w:t>
            </w:r>
          </w:p>
        </w:tc>
      </w:tr>
      <w:tr w:rsidR="00E82E6B" w:rsidRPr="00826399" w14:paraId="163ECC2D" w14:textId="77777777" w:rsidTr="005F3871">
        <w:trPr>
          <w:jc w:val="center"/>
        </w:trPr>
        <w:tc>
          <w:tcPr>
            <w:tcW w:w="2263" w:type="dxa"/>
          </w:tcPr>
          <w:p w14:paraId="11C0421A" w14:textId="77777777" w:rsidR="00E82E6B" w:rsidRPr="00826399" w:rsidRDefault="00E82E6B" w:rsidP="005F3871">
            <w:pPr>
              <w:spacing w:after="0"/>
              <w:contextualSpacing/>
              <w:jc w:val="center"/>
              <w:rPr>
                <w:rFonts w:ascii="Arial" w:hAnsi="Arial" w:cs="Arial"/>
              </w:rPr>
            </w:pPr>
            <w:r w:rsidRPr="00826399">
              <w:rPr>
                <w:rFonts w:ascii="Arial" w:hAnsi="Arial" w:cs="Arial"/>
              </w:rPr>
              <w:t>Deep sleep</w:t>
            </w:r>
          </w:p>
        </w:tc>
        <w:tc>
          <w:tcPr>
            <w:tcW w:w="1134" w:type="dxa"/>
          </w:tcPr>
          <w:p w14:paraId="17B49B9E" w14:textId="77777777" w:rsidR="00E82E6B" w:rsidRPr="00826399" w:rsidRDefault="004D2BF9" w:rsidP="005F3871">
            <w:pPr>
              <w:spacing w:after="0"/>
              <w:contextualSpacing/>
              <w:jc w:val="center"/>
              <w:rPr>
                <w:rFonts w:ascii="Arial" w:hAnsi="Arial" w:cs="Arial"/>
              </w:rPr>
            </w:pPr>
            <m:oMathPara>
              <m:oMath>
                <m:sSub>
                  <m:sSubPr>
                    <m:ctrlPr>
                      <w:rPr>
                        <w:rFonts w:ascii="Cambria Math" w:hAnsi="Cambria Math"/>
                        <w:i/>
                      </w:rPr>
                    </m:ctrlPr>
                  </m:sSubPr>
                  <m:e>
                    <m:r>
                      <w:rPr>
                        <w:rFonts w:ascii="Cambria Math" w:hAnsi="Cambria Math"/>
                      </w:rPr>
                      <m:t>P</m:t>
                    </m:r>
                  </m:e>
                  <m:sub>
                    <m:r>
                      <w:rPr>
                        <w:rFonts w:ascii="Cambria Math" w:hAnsi="Cambria Math"/>
                      </w:rPr>
                      <m:t>DS</m:t>
                    </m:r>
                  </m:sub>
                </m:sSub>
              </m:oMath>
            </m:oMathPara>
          </w:p>
        </w:tc>
        <w:tc>
          <w:tcPr>
            <w:tcW w:w="1984" w:type="dxa"/>
          </w:tcPr>
          <w:p w14:paraId="06C2AA69" w14:textId="77777777" w:rsidR="00E82E6B" w:rsidRPr="00826399" w:rsidRDefault="00E82E6B" w:rsidP="005F3871">
            <w:pPr>
              <w:spacing w:after="0"/>
              <w:contextualSpacing/>
              <w:jc w:val="center"/>
              <w:rPr>
                <w:rFonts w:ascii="Arial" w:hAnsi="Arial" w:cs="Arial"/>
              </w:rPr>
            </w:pPr>
            <w:r>
              <w:rPr>
                <w:rFonts w:ascii="Arial" w:hAnsi="Arial" w:cs="Arial" w:hint="eastAsia"/>
              </w:rPr>
              <w:t>1</w:t>
            </w:r>
          </w:p>
        </w:tc>
        <w:tc>
          <w:tcPr>
            <w:tcW w:w="1277" w:type="dxa"/>
          </w:tcPr>
          <w:p w14:paraId="75101F7C" w14:textId="77777777" w:rsidR="00E82E6B" w:rsidRPr="00826399" w:rsidRDefault="004D2BF9" w:rsidP="005F3871">
            <w:pPr>
              <w:spacing w:after="0"/>
              <w:contextualSpacing/>
              <w:jc w:val="center"/>
              <w:rPr>
                <w:rFonts w:ascii="Arial" w:hAnsi="Arial" w:cs="Arial"/>
              </w:rPr>
            </w:pPr>
            <m:oMathPara>
              <m:oMath>
                <m:sSub>
                  <m:sSubPr>
                    <m:ctrlPr>
                      <w:rPr>
                        <w:rFonts w:ascii="Cambria Math" w:hAnsi="Cambria Math"/>
                        <w:i/>
                      </w:rPr>
                    </m:ctrlPr>
                  </m:sSubPr>
                  <m:e>
                    <m:r>
                      <w:rPr>
                        <w:rFonts w:ascii="Cambria Math" w:hAnsi="Cambria Math"/>
                      </w:rPr>
                      <m:t>T</m:t>
                    </m:r>
                  </m:e>
                  <m:sub>
                    <m:r>
                      <w:rPr>
                        <w:rFonts w:ascii="Cambria Math" w:hAnsi="Cambria Math"/>
                      </w:rPr>
                      <m:t>DS</m:t>
                    </m:r>
                  </m:sub>
                </m:sSub>
              </m:oMath>
            </m:oMathPara>
          </w:p>
        </w:tc>
        <w:tc>
          <w:tcPr>
            <w:tcW w:w="1842" w:type="dxa"/>
          </w:tcPr>
          <w:p w14:paraId="0694D1BC" w14:textId="77777777" w:rsidR="00E82E6B" w:rsidRPr="00826399" w:rsidRDefault="00E82E6B" w:rsidP="005F3871">
            <w:pPr>
              <w:spacing w:after="0"/>
              <w:contextualSpacing/>
              <w:jc w:val="center"/>
              <w:rPr>
                <w:rFonts w:ascii="Arial" w:hAnsi="Arial" w:cs="Arial"/>
              </w:rPr>
            </w:pPr>
            <w:r>
              <w:rPr>
                <w:rFonts w:ascii="Arial" w:hAnsi="Arial" w:cs="Arial" w:hint="eastAsia"/>
              </w:rPr>
              <w:t>(</w:t>
            </w:r>
            <w:r>
              <w:rPr>
                <w:rFonts w:ascii="Arial" w:hAnsi="Arial" w:cs="Arial"/>
              </w:rPr>
              <w:t>*)</w:t>
            </w:r>
          </w:p>
        </w:tc>
      </w:tr>
    </w:tbl>
    <w:p w14:paraId="2E8C4379" w14:textId="77777777" w:rsidR="00F113D2" w:rsidRDefault="00F113D2" w:rsidP="00F113D2">
      <w:pPr>
        <w:rPr>
          <w:rFonts w:ascii="Arial" w:hAnsi="Arial" w:cs="Arial"/>
        </w:rPr>
      </w:pPr>
    </w:p>
    <w:p w14:paraId="5605326D" w14:textId="77777777" w:rsidR="00F113D2" w:rsidRPr="00F113D2" w:rsidRDefault="00F113D2" w:rsidP="00F113D2">
      <w:r w:rsidRPr="00F113D2">
        <w:t>(*) The value depends on the power saving scenario adopted</w:t>
      </w:r>
    </w:p>
    <w:p w14:paraId="206C65A7" w14:textId="45BBC75B" w:rsidR="00F113D2" w:rsidRPr="00F113D2" w:rsidRDefault="00F113D2" w:rsidP="00F113D2">
      <w:pPr>
        <w:spacing w:after="120"/>
      </w:pPr>
      <w:r w:rsidRPr="00F113D2">
        <w:t xml:space="preserve">We also define the following energy consumption for </w:t>
      </w:r>
      <w:r>
        <w:t xml:space="preserve">the </w:t>
      </w:r>
      <w:r w:rsidRPr="00F113D2">
        <w:t>state transition.</w:t>
      </w:r>
    </w:p>
    <w:tbl>
      <w:tblPr>
        <w:tblStyle w:val="TableGrid"/>
        <w:tblW w:w="0" w:type="auto"/>
        <w:jc w:val="center"/>
        <w:tblLayout w:type="fixed"/>
        <w:tblLook w:val="04A0" w:firstRow="1" w:lastRow="0" w:firstColumn="1" w:lastColumn="0" w:noHBand="0" w:noVBand="1"/>
      </w:tblPr>
      <w:tblGrid>
        <w:gridCol w:w="2263"/>
        <w:gridCol w:w="1559"/>
        <w:gridCol w:w="1559"/>
        <w:gridCol w:w="1559"/>
      </w:tblGrid>
      <w:tr w:rsidR="00E82E6B" w:rsidRPr="00826399" w14:paraId="2C80C61D" w14:textId="77777777" w:rsidTr="005F3871">
        <w:trPr>
          <w:jc w:val="center"/>
        </w:trPr>
        <w:tc>
          <w:tcPr>
            <w:tcW w:w="2263" w:type="dxa"/>
          </w:tcPr>
          <w:p w14:paraId="38274725" w14:textId="77777777" w:rsidR="00E82E6B" w:rsidRPr="008B5DAD" w:rsidRDefault="00E82E6B" w:rsidP="005F3871">
            <w:pPr>
              <w:contextualSpacing/>
              <w:jc w:val="center"/>
              <w:rPr>
                <w:rFonts w:ascii="Arial" w:hAnsi="Arial" w:cs="Arial"/>
                <w:b/>
              </w:rPr>
            </w:pPr>
            <w:r w:rsidRPr="00826399">
              <w:rPr>
                <w:rFonts w:ascii="Arial" w:hAnsi="Arial" w:cs="Arial"/>
                <w:b/>
              </w:rPr>
              <w:t>Component Description</w:t>
            </w:r>
          </w:p>
        </w:tc>
        <w:tc>
          <w:tcPr>
            <w:tcW w:w="1559" w:type="dxa"/>
          </w:tcPr>
          <w:p w14:paraId="55E12DBB" w14:textId="77777777" w:rsidR="00E82E6B" w:rsidRPr="008B5DAD" w:rsidRDefault="00E82E6B" w:rsidP="005F3871">
            <w:pPr>
              <w:contextualSpacing/>
              <w:jc w:val="center"/>
              <w:rPr>
                <w:rFonts w:ascii="Arial" w:eastAsia="PMingLiU" w:hAnsi="Arial" w:cs="Arial"/>
                <w:b/>
              </w:rPr>
            </w:pPr>
            <w:r w:rsidRPr="008B5DAD">
              <w:rPr>
                <w:rFonts w:ascii="Arial" w:eastAsia="PMingLiU" w:hAnsi="Arial" w:cs="Arial" w:hint="eastAsia"/>
                <w:b/>
              </w:rPr>
              <w:t>E</w:t>
            </w:r>
            <w:r w:rsidRPr="008B5DAD">
              <w:rPr>
                <w:rFonts w:ascii="Arial" w:eastAsia="PMingLiU" w:hAnsi="Arial" w:cs="Arial"/>
                <w:b/>
              </w:rPr>
              <w:t>nergy notation</w:t>
            </w:r>
          </w:p>
        </w:tc>
        <w:tc>
          <w:tcPr>
            <w:tcW w:w="1559" w:type="dxa"/>
          </w:tcPr>
          <w:p w14:paraId="3AA4503A" w14:textId="77777777" w:rsidR="00E82E6B" w:rsidRPr="008B5DAD" w:rsidRDefault="00E82E6B" w:rsidP="005F3871">
            <w:pPr>
              <w:contextualSpacing/>
              <w:jc w:val="center"/>
              <w:rPr>
                <w:rFonts w:ascii="Arial" w:hAnsi="Arial" w:cs="Arial"/>
                <w:b/>
              </w:rPr>
            </w:pPr>
            <w:r w:rsidRPr="008B5DAD">
              <w:rPr>
                <w:rFonts w:ascii="Arial" w:hAnsi="Arial" w:cs="Arial" w:hint="eastAsia"/>
                <w:b/>
              </w:rPr>
              <w:t>E</w:t>
            </w:r>
            <w:r w:rsidRPr="008B5DAD">
              <w:rPr>
                <w:rFonts w:ascii="Arial" w:hAnsi="Arial" w:cs="Arial"/>
                <w:b/>
              </w:rPr>
              <w:t>nergy</w:t>
            </w:r>
          </w:p>
        </w:tc>
        <w:tc>
          <w:tcPr>
            <w:tcW w:w="1559" w:type="dxa"/>
          </w:tcPr>
          <w:p w14:paraId="4CA68D1F" w14:textId="77777777" w:rsidR="00E82E6B" w:rsidRPr="008B5DAD" w:rsidRDefault="00E82E6B" w:rsidP="005F3871">
            <w:pPr>
              <w:contextualSpacing/>
              <w:jc w:val="center"/>
              <w:rPr>
                <w:rFonts w:ascii="Arial" w:hAnsi="Arial" w:cs="Arial"/>
                <w:b/>
              </w:rPr>
            </w:pPr>
            <w:r w:rsidRPr="008B5DAD">
              <w:rPr>
                <w:rFonts w:ascii="Arial" w:hAnsi="Arial" w:cs="Arial"/>
                <w:b/>
              </w:rPr>
              <w:t>Occurrence notation</w:t>
            </w:r>
          </w:p>
        </w:tc>
      </w:tr>
      <w:tr w:rsidR="00E82E6B" w:rsidRPr="00826399" w14:paraId="36185C95" w14:textId="77777777" w:rsidTr="005F3871">
        <w:trPr>
          <w:jc w:val="center"/>
        </w:trPr>
        <w:tc>
          <w:tcPr>
            <w:tcW w:w="2263" w:type="dxa"/>
          </w:tcPr>
          <w:p w14:paraId="633D16EE" w14:textId="77777777" w:rsidR="00E82E6B" w:rsidRPr="00826399" w:rsidRDefault="00E82E6B" w:rsidP="005F3871">
            <w:pPr>
              <w:contextualSpacing/>
              <w:jc w:val="center"/>
              <w:rPr>
                <w:rFonts w:ascii="Arial" w:hAnsi="Arial" w:cs="Arial"/>
              </w:rPr>
            </w:pPr>
            <w:r>
              <w:rPr>
                <w:rFonts w:ascii="Arial" w:hAnsi="Arial" w:cs="Arial"/>
              </w:rPr>
              <w:lastRenderedPageBreak/>
              <w:t>Micro</w:t>
            </w:r>
            <w:r w:rsidRPr="00826399">
              <w:rPr>
                <w:rFonts w:ascii="Arial" w:hAnsi="Arial" w:cs="Arial"/>
              </w:rPr>
              <w:t xml:space="preserve"> sleep transition</w:t>
            </w:r>
          </w:p>
        </w:tc>
        <w:tc>
          <w:tcPr>
            <w:tcW w:w="1559" w:type="dxa"/>
          </w:tcPr>
          <w:p w14:paraId="39A5A4D8" w14:textId="77777777" w:rsidR="00E82E6B" w:rsidRDefault="004D2BF9" w:rsidP="005F3871">
            <w:pPr>
              <w:contextualSpacing/>
              <w:jc w:val="center"/>
              <w:rPr>
                <w:rFonts w:ascii="Arial" w:eastAsia="PMingLiU" w:hAnsi="Arial" w:cs="Arial"/>
              </w:rPr>
            </w:pPr>
            <m:oMathPara>
              <m:oMath>
                <m:sSub>
                  <m:sSubPr>
                    <m:ctrlPr>
                      <w:rPr>
                        <w:rFonts w:ascii="Cambria Math" w:hAnsi="Cambria Math"/>
                        <w:i/>
                      </w:rPr>
                    </m:ctrlPr>
                  </m:sSubPr>
                  <m:e>
                    <m:r>
                      <w:rPr>
                        <w:rFonts w:ascii="Cambria Math" w:hAnsi="Cambria Math"/>
                      </w:rPr>
                      <m:t>E</m:t>
                    </m:r>
                  </m:e>
                  <m:sub>
                    <m:r>
                      <w:rPr>
                        <w:rFonts w:ascii="Cambria Math" w:hAnsi="Cambria Math" w:hint="eastAsia"/>
                      </w:rPr>
                      <m:t>M</m:t>
                    </m:r>
                    <m:r>
                      <w:rPr>
                        <w:rFonts w:ascii="Cambria Math" w:hAnsi="Cambria Math"/>
                      </w:rPr>
                      <m:t>ST</m:t>
                    </m:r>
                  </m:sub>
                </m:sSub>
              </m:oMath>
            </m:oMathPara>
          </w:p>
        </w:tc>
        <w:tc>
          <w:tcPr>
            <w:tcW w:w="1559" w:type="dxa"/>
          </w:tcPr>
          <w:p w14:paraId="22B1BA07" w14:textId="77777777" w:rsidR="00E82E6B" w:rsidRPr="00826399" w:rsidRDefault="00E82E6B" w:rsidP="005F3871">
            <w:pPr>
              <w:contextualSpacing/>
              <w:jc w:val="center"/>
              <w:rPr>
                <w:rFonts w:ascii="Arial" w:hAnsi="Arial" w:cs="Arial"/>
              </w:rPr>
            </w:pPr>
            <w:r>
              <w:rPr>
                <w:rFonts w:ascii="Arial" w:hAnsi="Arial" w:cs="Arial" w:hint="eastAsia"/>
              </w:rPr>
              <w:t>0</w:t>
            </w:r>
          </w:p>
        </w:tc>
        <w:tc>
          <w:tcPr>
            <w:tcW w:w="1559" w:type="dxa"/>
          </w:tcPr>
          <w:p w14:paraId="173A63EE" w14:textId="46FE411F" w:rsidR="00E82E6B" w:rsidRDefault="004D2BF9" w:rsidP="005F3871">
            <w:pPr>
              <w:contextualSpacing/>
              <w:jc w:val="center"/>
              <w:rPr>
                <w:rFonts w:ascii="Arial" w:eastAsia="PMingLiU" w:hAnsi="Arial" w:cs="Arial"/>
              </w:rPr>
            </w:pPr>
            <m:oMathPara>
              <m:oMath>
                <m:sSub>
                  <m:sSubPr>
                    <m:ctrlPr>
                      <w:rPr>
                        <w:rFonts w:ascii="Cambria Math" w:hAnsi="Cambria Math"/>
                        <w:i/>
                      </w:rPr>
                    </m:ctrlPr>
                  </m:sSubPr>
                  <m:e>
                    <m:r>
                      <w:rPr>
                        <w:rFonts w:ascii="Cambria Math" w:hAnsi="Cambria Math"/>
                      </w:rPr>
                      <m:t>N</m:t>
                    </m:r>
                  </m:e>
                  <m:sub>
                    <m:r>
                      <w:rPr>
                        <w:rFonts w:ascii="Cambria Math" w:hAnsi="Cambria Math"/>
                      </w:rPr>
                      <m:t>M</m:t>
                    </m:r>
                    <w:bookmarkStart w:id="3" w:name="_GoBack"/>
                    <w:bookmarkEnd w:id="3"/>
                    <m:r>
                      <w:rPr>
                        <w:rFonts w:ascii="Cambria Math" w:hAnsi="Cambria Math"/>
                      </w:rPr>
                      <m:t>ST</m:t>
                    </m:r>
                  </m:sub>
                </m:sSub>
              </m:oMath>
            </m:oMathPara>
          </w:p>
        </w:tc>
      </w:tr>
      <w:tr w:rsidR="00E82E6B" w:rsidRPr="00826399" w14:paraId="54217FB9" w14:textId="77777777" w:rsidTr="005F3871">
        <w:trPr>
          <w:jc w:val="center"/>
        </w:trPr>
        <w:tc>
          <w:tcPr>
            <w:tcW w:w="2263" w:type="dxa"/>
          </w:tcPr>
          <w:p w14:paraId="5FA47FAB" w14:textId="77777777" w:rsidR="00E82E6B" w:rsidRPr="00826399" w:rsidRDefault="00E82E6B" w:rsidP="005F3871">
            <w:pPr>
              <w:spacing w:after="0"/>
              <w:contextualSpacing/>
              <w:jc w:val="center"/>
              <w:rPr>
                <w:rFonts w:ascii="Arial" w:hAnsi="Arial" w:cs="Arial"/>
              </w:rPr>
            </w:pPr>
            <w:r w:rsidRPr="00826399">
              <w:rPr>
                <w:rFonts w:ascii="Arial" w:hAnsi="Arial" w:cs="Arial"/>
              </w:rPr>
              <w:t>Light sleep transition</w:t>
            </w:r>
          </w:p>
        </w:tc>
        <w:tc>
          <w:tcPr>
            <w:tcW w:w="1559" w:type="dxa"/>
          </w:tcPr>
          <w:p w14:paraId="44C29E29" w14:textId="77777777" w:rsidR="00E82E6B" w:rsidRPr="00826399" w:rsidRDefault="004D2BF9" w:rsidP="005F3871">
            <w:pPr>
              <w:contextualSpacing/>
              <w:jc w:val="center"/>
              <w:rPr>
                <w:rFonts w:ascii="Arial" w:hAnsi="Arial" w:cs="Arial"/>
              </w:rPr>
            </w:pPr>
            <m:oMathPara>
              <m:oMath>
                <m:sSub>
                  <m:sSubPr>
                    <m:ctrlPr>
                      <w:rPr>
                        <w:rFonts w:ascii="Cambria Math" w:hAnsi="Cambria Math"/>
                        <w:i/>
                      </w:rPr>
                    </m:ctrlPr>
                  </m:sSubPr>
                  <m:e>
                    <m:r>
                      <w:rPr>
                        <w:rFonts w:ascii="Cambria Math" w:hAnsi="Cambria Math"/>
                      </w:rPr>
                      <m:t>E</m:t>
                    </m:r>
                  </m:e>
                  <m:sub>
                    <m:r>
                      <w:rPr>
                        <w:rFonts w:ascii="Cambria Math" w:hAnsi="Cambria Math"/>
                      </w:rPr>
                      <m:t>LST</m:t>
                    </m:r>
                  </m:sub>
                </m:sSub>
              </m:oMath>
            </m:oMathPara>
          </w:p>
        </w:tc>
        <w:tc>
          <w:tcPr>
            <w:tcW w:w="1559" w:type="dxa"/>
          </w:tcPr>
          <w:p w14:paraId="793A58F7" w14:textId="77777777" w:rsidR="00E82E6B" w:rsidRPr="00826399" w:rsidRDefault="00E82E6B" w:rsidP="005F3871">
            <w:pPr>
              <w:spacing w:after="0"/>
              <w:contextualSpacing/>
              <w:jc w:val="center"/>
              <w:rPr>
                <w:rFonts w:ascii="Arial" w:hAnsi="Arial" w:cs="Arial"/>
              </w:rPr>
            </w:pPr>
            <w:r w:rsidRPr="00826399">
              <w:rPr>
                <w:rFonts w:ascii="Arial" w:hAnsi="Arial" w:cs="Arial"/>
              </w:rPr>
              <w:t>100</w:t>
            </w:r>
          </w:p>
        </w:tc>
        <w:tc>
          <w:tcPr>
            <w:tcW w:w="1559" w:type="dxa"/>
          </w:tcPr>
          <w:p w14:paraId="4E740646" w14:textId="77777777" w:rsidR="00E82E6B" w:rsidRPr="00826399" w:rsidRDefault="004D2BF9" w:rsidP="005F3871">
            <w:pPr>
              <w:contextualSpacing/>
              <w:jc w:val="center"/>
              <w:rPr>
                <w:rFonts w:ascii="Arial" w:hAnsi="Arial" w:cs="Arial"/>
              </w:rPr>
            </w:pPr>
            <m:oMathPara>
              <m:oMath>
                <m:sSub>
                  <m:sSubPr>
                    <m:ctrlPr>
                      <w:rPr>
                        <w:rFonts w:ascii="Cambria Math" w:hAnsi="Cambria Math"/>
                        <w:i/>
                      </w:rPr>
                    </m:ctrlPr>
                  </m:sSubPr>
                  <m:e>
                    <m:r>
                      <w:rPr>
                        <w:rFonts w:ascii="Cambria Math" w:hAnsi="Cambria Math"/>
                      </w:rPr>
                      <m:t>N</m:t>
                    </m:r>
                  </m:e>
                  <m:sub>
                    <m:r>
                      <w:rPr>
                        <w:rFonts w:ascii="Cambria Math" w:hAnsi="Cambria Math"/>
                      </w:rPr>
                      <m:t>LST</m:t>
                    </m:r>
                  </m:sub>
                </m:sSub>
              </m:oMath>
            </m:oMathPara>
          </w:p>
        </w:tc>
      </w:tr>
      <w:tr w:rsidR="00E82E6B" w:rsidRPr="00826399" w14:paraId="0A99AACF" w14:textId="77777777" w:rsidTr="005F3871">
        <w:trPr>
          <w:jc w:val="center"/>
        </w:trPr>
        <w:tc>
          <w:tcPr>
            <w:tcW w:w="2263" w:type="dxa"/>
          </w:tcPr>
          <w:p w14:paraId="242DC34F" w14:textId="77777777" w:rsidR="00E82E6B" w:rsidRPr="00826399" w:rsidRDefault="00E82E6B" w:rsidP="005F3871">
            <w:pPr>
              <w:spacing w:after="0"/>
              <w:contextualSpacing/>
              <w:jc w:val="center"/>
              <w:rPr>
                <w:rFonts w:ascii="Arial" w:hAnsi="Arial" w:cs="Arial"/>
              </w:rPr>
            </w:pPr>
            <w:r w:rsidRPr="00826399">
              <w:rPr>
                <w:rFonts w:ascii="Arial" w:hAnsi="Arial" w:cs="Arial"/>
              </w:rPr>
              <w:t>Deep sleep transition</w:t>
            </w:r>
          </w:p>
        </w:tc>
        <w:tc>
          <w:tcPr>
            <w:tcW w:w="1559" w:type="dxa"/>
          </w:tcPr>
          <w:p w14:paraId="0AAA8525" w14:textId="77777777" w:rsidR="00E82E6B" w:rsidRPr="00826399" w:rsidRDefault="004D2BF9" w:rsidP="005F3871">
            <w:pPr>
              <w:contextualSpacing/>
              <w:jc w:val="center"/>
              <w:rPr>
                <w:rFonts w:ascii="Arial" w:hAnsi="Arial" w:cs="Arial"/>
              </w:rPr>
            </w:pPr>
            <m:oMathPara>
              <m:oMath>
                <m:sSub>
                  <m:sSubPr>
                    <m:ctrlPr>
                      <w:rPr>
                        <w:rFonts w:ascii="Cambria Math" w:hAnsi="Cambria Math"/>
                        <w:i/>
                      </w:rPr>
                    </m:ctrlPr>
                  </m:sSubPr>
                  <m:e>
                    <m:r>
                      <w:rPr>
                        <w:rFonts w:ascii="Cambria Math" w:hAnsi="Cambria Math"/>
                      </w:rPr>
                      <m:t>E</m:t>
                    </m:r>
                  </m:e>
                  <m:sub>
                    <m:r>
                      <w:rPr>
                        <w:rFonts w:ascii="Cambria Math" w:hAnsi="Cambria Math"/>
                      </w:rPr>
                      <m:t>DST</m:t>
                    </m:r>
                  </m:sub>
                </m:sSub>
              </m:oMath>
            </m:oMathPara>
          </w:p>
        </w:tc>
        <w:tc>
          <w:tcPr>
            <w:tcW w:w="1559" w:type="dxa"/>
          </w:tcPr>
          <w:p w14:paraId="4AC28EF1" w14:textId="77777777" w:rsidR="00E82E6B" w:rsidRPr="00826399" w:rsidRDefault="00E82E6B" w:rsidP="005F3871">
            <w:pPr>
              <w:spacing w:after="0"/>
              <w:contextualSpacing/>
              <w:jc w:val="center"/>
              <w:rPr>
                <w:rFonts w:ascii="Arial" w:hAnsi="Arial" w:cs="Arial"/>
              </w:rPr>
            </w:pPr>
            <w:r w:rsidRPr="00826399">
              <w:rPr>
                <w:rFonts w:ascii="Arial" w:hAnsi="Arial" w:cs="Arial"/>
              </w:rPr>
              <w:t>450</w:t>
            </w:r>
          </w:p>
        </w:tc>
        <w:tc>
          <w:tcPr>
            <w:tcW w:w="1559" w:type="dxa"/>
          </w:tcPr>
          <w:p w14:paraId="24F29DBA" w14:textId="77777777" w:rsidR="00E82E6B" w:rsidRPr="00826399" w:rsidRDefault="004D2BF9" w:rsidP="005F3871">
            <w:pPr>
              <w:contextualSpacing/>
              <w:jc w:val="center"/>
              <w:rPr>
                <w:rFonts w:ascii="Arial" w:hAnsi="Arial" w:cs="Arial"/>
              </w:rPr>
            </w:pPr>
            <m:oMathPara>
              <m:oMath>
                <m:sSub>
                  <m:sSubPr>
                    <m:ctrlPr>
                      <w:rPr>
                        <w:rFonts w:ascii="Cambria Math" w:hAnsi="Cambria Math"/>
                        <w:i/>
                      </w:rPr>
                    </m:ctrlPr>
                  </m:sSubPr>
                  <m:e>
                    <m:r>
                      <w:rPr>
                        <w:rFonts w:ascii="Cambria Math" w:hAnsi="Cambria Math"/>
                      </w:rPr>
                      <m:t>N</m:t>
                    </m:r>
                  </m:e>
                  <m:sub>
                    <m:r>
                      <w:rPr>
                        <w:rFonts w:ascii="Cambria Math" w:hAnsi="Cambria Math"/>
                      </w:rPr>
                      <m:t>DST</m:t>
                    </m:r>
                  </m:sub>
                </m:sSub>
              </m:oMath>
            </m:oMathPara>
          </w:p>
        </w:tc>
      </w:tr>
    </w:tbl>
    <w:p w14:paraId="686FE774" w14:textId="77777777" w:rsidR="00F113D2" w:rsidRDefault="00F113D2" w:rsidP="00F113D2"/>
    <w:p w14:paraId="280F4028" w14:textId="3BCB29BA" w:rsidR="00F113D2" w:rsidRPr="00F113D2" w:rsidRDefault="00F113D2" w:rsidP="00F113D2">
      <w:pPr>
        <w:spacing w:after="120"/>
      </w:pPr>
      <w:r w:rsidRPr="00F113D2">
        <w:t xml:space="preserve">Based on the above timeline and power model, the power consumption for I-DRX </w:t>
      </w:r>
      <w:r w:rsidR="00E82E6B">
        <w:t xml:space="preserve">with high SINR </w:t>
      </w:r>
      <w:r w:rsidRPr="00F113D2">
        <w:t>is given by:</w:t>
      </w:r>
    </w:p>
    <w:p w14:paraId="6C1D1166" w14:textId="6EC3DD87" w:rsidR="00F113D2" w:rsidRPr="002A51D8" w:rsidRDefault="004D2BF9" w:rsidP="00F113D2">
      <w:pPr>
        <w:rPr>
          <w:iCs/>
        </w:rPr>
      </w:pPr>
      <m:oMathPara>
        <m:oMath>
          <m:sSub>
            <m:sSubPr>
              <m:ctrlPr>
                <w:rPr>
                  <w:rFonts w:ascii="Cambria Math" w:hAnsi="Cambria Math"/>
                  <w:i/>
                  <w:iCs/>
                </w:rPr>
              </m:ctrlPr>
            </m:sSubPr>
            <m:e>
              <m:r>
                <w:rPr>
                  <w:rFonts w:ascii="Cambria Math" w:hAnsi="Cambria Math"/>
                </w:rPr>
                <m:t>P</m:t>
              </m:r>
            </m:e>
            <m:sub>
              <m:r>
                <w:rPr>
                  <w:rFonts w:ascii="Cambria Math" w:hAnsi="Cambria Math"/>
                </w:rPr>
                <m:t>IDRX, High SINR</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SSB</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SSB</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PO</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PO</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DS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IDRX</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SSB</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PO</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DST</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DST</m:t>
                  </m:r>
                </m:sub>
              </m:sSub>
            </m:num>
            <m:den>
              <m:sSub>
                <m:sSubPr>
                  <m:ctrlPr>
                    <w:rPr>
                      <w:rFonts w:ascii="Cambria Math" w:hAnsi="Cambria Math"/>
                      <w:i/>
                    </w:rPr>
                  </m:ctrlPr>
                </m:sSubPr>
                <m:e>
                  <m:r>
                    <w:rPr>
                      <w:rFonts w:ascii="Cambria Math" w:hAnsi="Cambria Math"/>
                    </w:rPr>
                    <m:t>T</m:t>
                  </m:r>
                </m:e>
                <m:sub>
                  <m:r>
                    <w:rPr>
                      <w:rFonts w:ascii="Cambria Math" w:hAnsi="Cambria Math"/>
                    </w:rPr>
                    <m:t>IDRX</m:t>
                  </m:r>
                </m:sub>
              </m:sSub>
            </m:den>
          </m:f>
          <m:r>
            <w:rPr>
              <w:rFonts w:ascii="Cambria Math" w:hAnsi="Cambria Math"/>
            </w:rPr>
            <m:t xml:space="preserve"> </m:t>
          </m:r>
        </m:oMath>
      </m:oMathPara>
    </w:p>
    <w:p w14:paraId="01942F9C" w14:textId="77777777" w:rsidR="00E82E6B" w:rsidRDefault="00E82E6B" w:rsidP="00F113D2"/>
    <w:p w14:paraId="339AA773" w14:textId="366CA4A2" w:rsidR="00E82E6B" w:rsidRDefault="00E82E6B" w:rsidP="00F113D2">
      <w:r>
        <w:t>For low SINR, it is given by:</w:t>
      </w:r>
    </w:p>
    <w:p w14:paraId="2CF336F5" w14:textId="3F5BE247" w:rsidR="00E82E6B" w:rsidRDefault="004D2BF9" w:rsidP="00F113D2">
      <m:oMathPara>
        <m:oMath>
          <m:sSub>
            <m:sSubPr>
              <m:ctrlPr>
                <w:rPr>
                  <w:rFonts w:ascii="Cambria Math" w:hAnsi="Cambria Math"/>
                  <w:i/>
                  <w:iCs/>
                </w:rPr>
              </m:ctrlPr>
            </m:sSubPr>
            <m:e>
              <m:r>
                <w:rPr>
                  <w:rFonts w:ascii="Cambria Math" w:hAnsi="Cambria Math"/>
                </w:rPr>
                <m:t>P</m:t>
              </m:r>
            </m:e>
            <m:sub>
              <m:r>
                <w:rPr>
                  <w:rFonts w:ascii="Cambria Math" w:hAnsi="Cambria Math"/>
                </w:rPr>
                <m:t>IDRX,  Low SINR</m:t>
              </m:r>
            </m:sub>
          </m:sSub>
          <m:r>
            <w:rPr>
              <w:rFonts w:ascii="Cambria Math" w:hAnsi="Cambria Math"/>
            </w:rPr>
            <m:t>=</m:t>
          </m:r>
          <m:f>
            <m:fPr>
              <m:ctrlPr>
                <w:rPr>
                  <w:rFonts w:ascii="Cambria Math" w:hAnsi="Cambria Math"/>
                  <w:i/>
                </w:rPr>
              </m:ctrlPr>
            </m:fPr>
            <m:num>
              <m:eqArr>
                <m:eqArrPr>
                  <m:ctrlPr>
                    <w:rPr>
                      <w:rFonts w:ascii="Cambria Math" w:hAnsi="Cambria Math"/>
                      <w:i/>
                    </w:rPr>
                  </m:ctrlPr>
                </m:eqArrPr>
                <m:e>
                  <m:sSub>
                    <m:sSubPr>
                      <m:ctrlPr>
                        <w:rPr>
                          <w:rFonts w:ascii="Cambria Math" w:hAnsi="Cambria Math"/>
                          <w:i/>
                        </w:rPr>
                      </m:ctrlPr>
                    </m:sSubPr>
                    <m:e>
                      <m:r>
                        <w:rPr>
                          <w:rFonts w:ascii="Cambria Math" w:hAnsi="Cambria Math"/>
                        </w:rPr>
                        <m:t>P</m:t>
                      </m:r>
                    </m:e>
                    <m:sub>
                      <m:r>
                        <w:rPr>
                          <w:rFonts w:ascii="Cambria Math" w:hAnsi="Cambria Math"/>
                        </w:rPr>
                        <m:t>SSB</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SSB</m:t>
                      </m:r>
                    </m:sub>
                  </m:sSub>
                  <m:r>
                    <w:rPr>
                      <w:rFonts w:ascii="Cambria Math" w:hAnsi="Cambria Math"/>
                    </w:rPr>
                    <m:t>+</m:t>
                  </m:r>
                  <m:sSub>
                    <m:sSubPr>
                      <m:ctrlPr>
                        <w:rPr>
                          <w:rFonts w:ascii="Cambria Math" w:hAnsi="Cambria Math"/>
                          <w:i/>
                        </w:rPr>
                      </m:ctrlPr>
                    </m:sSubPr>
                    <m:e>
                      <m:sSub>
                        <m:sSubPr>
                          <m:ctrlPr>
                            <w:rPr>
                              <w:rFonts w:ascii="Cambria Math" w:hAnsi="Cambria Math"/>
                              <w:i/>
                            </w:rPr>
                          </m:ctrlPr>
                        </m:sSubPr>
                        <m:e>
                          <m:r>
                            <w:rPr>
                              <w:rFonts w:ascii="Cambria Math" w:hAnsi="Cambria Math"/>
                            </w:rPr>
                            <m:t>P</m:t>
                          </m:r>
                        </m:e>
                        <m:sub>
                          <m:r>
                            <w:rPr>
                              <w:rFonts w:ascii="Cambria Math" w:hAnsi="Cambria Math"/>
                            </w:rPr>
                            <m:t>IntraF</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IntraF</m:t>
                          </m:r>
                        </m:sub>
                      </m:sSub>
                      <m:r>
                        <w:rPr>
                          <w:rFonts w:ascii="Cambria Math" w:hAnsi="Cambria Math"/>
                        </w:rPr>
                        <m:t>+P</m:t>
                      </m:r>
                    </m:e>
                    <m:sub>
                      <m:r>
                        <w:rPr>
                          <w:rFonts w:ascii="Cambria Math" w:hAnsi="Cambria Math"/>
                        </w:rPr>
                        <m:t>PO</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PO</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InterF</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InterF</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LS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LS</m:t>
                      </m:r>
                    </m:sub>
                  </m:sSub>
                </m:e>
                <m:e>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LST</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LST</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DS</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IDRX</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SSB</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IntraF</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PO</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InterF</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LS</m:t>
                          </m:r>
                        </m:sub>
                      </m:sSub>
                    </m:e>
                  </m:d>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DST</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DST</m:t>
                      </m:r>
                    </m:sub>
                  </m:sSub>
                </m:e>
              </m:eqArr>
            </m:num>
            <m:den>
              <m:sSub>
                <m:sSubPr>
                  <m:ctrlPr>
                    <w:rPr>
                      <w:rFonts w:ascii="Cambria Math" w:hAnsi="Cambria Math"/>
                      <w:i/>
                    </w:rPr>
                  </m:ctrlPr>
                </m:sSubPr>
                <m:e>
                  <m:r>
                    <w:rPr>
                      <w:rFonts w:ascii="Cambria Math" w:hAnsi="Cambria Math"/>
                    </w:rPr>
                    <m:t>T</m:t>
                  </m:r>
                </m:e>
                <m:sub>
                  <m:r>
                    <w:rPr>
                      <w:rFonts w:ascii="Cambria Math" w:hAnsi="Cambria Math"/>
                    </w:rPr>
                    <m:t>IDRX</m:t>
                  </m:r>
                </m:sub>
              </m:sSub>
            </m:den>
          </m:f>
        </m:oMath>
      </m:oMathPara>
    </w:p>
    <w:p w14:paraId="09903332" w14:textId="77777777" w:rsidR="00E82E6B" w:rsidRDefault="00E82E6B" w:rsidP="00F113D2"/>
    <w:p w14:paraId="32317236" w14:textId="30E02860" w:rsidR="00F113D2" w:rsidRDefault="00197633" w:rsidP="00F113D2">
      <w:r>
        <w:t>For</w:t>
      </w:r>
      <w:r w:rsidR="00F113D2">
        <w:t xml:space="preserve"> eDRX, </w:t>
      </w:r>
      <w:r>
        <w:t xml:space="preserve">if </w:t>
      </w:r>
      <w:r w:rsidR="0078057B">
        <w:t xml:space="preserve">we consider </w:t>
      </w:r>
      <w:r w:rsidR="00F113D2">
        <w:t xml:space="preserve">the UE </w:t>
      </w:r>
      <w:r w:rsidR="0078057B">
        <w:t>to</w:t>
      </w:r>
      <w:r w:rsidR="00F113D2">
        <w:t xml:space="preserve"> be in deep sleep outside of PTW and consuming </w:t>
      </w:r>
      <w:r w:rsidR="00E82E6B">
        <w:t xml:space="preserve">power </w:t>
      </w:r>
      <w:r w:rsidR="00F113D2">
        <w:t>P</w:t>
      </w:r>
      <w:r w:rsidR="00F113D2" w:rsidRPr="002A51D8">
        <w:rPr>
          <w:vertAlign w:val="subscript"/>
        </w:rPr>
        <w:t>IDRX</w:t>
      </w:r>
      <w:r w:rsidR="00F113D2">
        <w:t xml:space="preserve"> (in the formula above) </w:t>
      </w:r>
      <w:r w:rsidR="00E82E6B">
        <w:t>during</w:t>
      </w:r>
      <w:r>
        <w:t xml:space="preserve"> PTW, </w:t>
      </w:r>
      <w:r w:rsidR="00F113D2">
        <w:t xml:space="preserve">the formula for eDRX </w:t>
      </w:r>
      <w:r w:rsidR="00EC59A0">
        <w:t xml:space="preserve">power consumption </w:t>
      </w:r>
      <w:r w:rsidR="00F113D2">
        <w:t>becomes:</w:t>
      </w:r>
    </w:p>
    <w:p w14:paraId="2DF75AB5" w14:textId="77777777" w:rsidR="00F113D2" w:rsidRDefault="004D2BF9" w:rsidP="00F113D2">
      <m:oMathPara>
        <m:oMath>
          <m:sSub>
            <m:sSubPr>
              <m:ctrlPr>
                <w:rPr>
                  <w:rFonts w:ascii="Cambria Math" w:hAnsi="Cambria Math"/>
                  <w:i/>
                  <w:iCs/>
                </w:rPr>
              </m:ctrlPr>
            </m:sSubPr>
            <m:e>
              <m:r>
                <w:rPr>
                  <w:rFonts w:ascii="Cambria Math" w:hAnsi="Cambria Math"/>
                </w:rPr>
                <m:t>P</m:t>
              </m:r>
            </m:e>
            <m:sub>
              <m:r>
                <w:rPr>
                  <w:rFonts w:ascii="Cambria Math" w:hAnsi="Cambria Math"/>
                </w:rPr>
                <m:t>eDRX</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IDRX</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PTW</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DS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eDRX</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PTW</m:t>
                  </m:r>
                </m:sub>
              </m:sSub>
              <m:r>
                <w:rPr>
                  <w:rFonts w:ascii="Cambria Math" w:hAnsi="Cambria Math"/>
                </w:rPr>
                <m:t>)</m:t>
              </m:r>
            </m:num>
            <m:den>
              <m:sSub>
                <m:sSubPr>
                  <m:ctrlPr>
                    <w:rPr>
                      <w:rFonts w:ascii="Cambria Math" w:hAnsi="Cambria Math"/>
                      <w:i/>
                    </w:rPr>
                  </m:ctrlPr>
                </m:sSubPr>
                <m:e>
                  <m:r>
                    <w:rPr>
                      <w:rFonts w:ascii="Cambria Math" w:hAnsi="Cambria Math"/>
                    </w:rPr>
                    <m:t>T</m:t>
                  </m:r>
                </m:e>
                <m:sub>
                  <m:r>
                    <w:rPr>
                      <w:rFonts w:ascii="Cambria Math" w:hAnsi="Cambria Math"/>
                    </w:rPr>
                    <m:t>eDRX</m:t>
                  </m:r>
                </m:sub>
              </m:sSub>
            </m:den>
          </m:f>
        </m:oMath>
      </m:oMathPara>
    </w:p>
    <w:p w14:paraId="17FDFF35" w14:textId="063445B6" w:rsidR="0078057B" w:rsidRDefault="00F113D2" w:rsidP="00F113D2">
      <w:r>
        <w:t>Where, L</w:t>
      </w:r>
      <w:r w:rsidRPr="001E65A8">
        <w:rPr>
          <w:vertAlign w:val="subscript"/>
        </w:rPr>
        <w:t>PTW</w:t>
      </w:r>
      <w:r>
        <w:t xml:space="preserve"> is the PTW length.</w:t>
      </w:r>
    </w:p>
    <w:p w14:paraId="421B99D5" w14:textId="62A82109" w:rsidR="00F113D2" w:rsidRDefault="00F113D2" w:rsidP="00F113D2">
      <w:r>
        <w:t>Some example</w:t>
      </w:r>
      <w:r w:rsidR="00832CE4">
        <w:t xml:space="preserve"> </w:t>
      </w:r>
      <w:r>
        <w:t>power savings</w:t>
      </w:r>
      <w:r w:rsidR="002271FF">
        <w:t xml:space="preserve"> by introducing eDRX,</w:t>
      </w:r>
      <w:r>
        <w:t xml:space="preserve"> </w:t>
      </w:r>
      <w:r w:rsidR="0086103D">
        <w:t>with</w:t>
      </w:r>
      <w:r>
        <w:t xml:space="preserve"> different eDRX/I-DRX configurations </w:t>
      </w:r>
      <w:r w:rsidR="008854FA">
        <w:t xml:space="preserve">are </w:t>
      </w:r>
      <w:r>
        <w:t>summarised in the table below:</w:t>
      </w:r>
    </w:p>
    <w:p w14:paraId="66B62658" w14:textId="6ABBE7E2" w:rsidR="00F113D2" w:rsidRDefault="00F113D2" w:rsidP="00F113D2">
      <w:pPr>
        <w:pStyle w:val="Caption"/>
        <w:keepNext/>
        <w:jc w:val="center"/>
      </w:pPr>
      <w:r>
        <w:t xml:space="preserve">Table </w:t>
      </w:r>
      <w:r w:rsidR="00173732">
        <w:rPr>
          <w:noProof/>
        </w:rPr>
        <w:fldChar w:fldCharType="begin"/>
      </w:r>
      <w:r w:rsidR="00173732">
        <w:rPr>
          <w:noProof/>
        </w:rPr>
        <w:instrText xml:space="preserve"> SEQ Table \* ARABIC </w:instrText>
      </w:r>
      <w:r w:rsidR="00173732">
        <w:rPr>
          <w:noProof/>
        </w:rPr>
        <w:fldChar w:fldCharType="separate"/>
      </w:r>
      <w:r>
        <w:rPr>
          <w:noProof/>
        </w:rPr>
        <w:t>2</w:t>
      </w:r>
      <w:r w:rsidR="00173732">
        <w:rPr>
          <w:noProof/>
        </w:rPr>
        <w:fldChar w:fldCharType="end"/>
      </w:r>
      <w:r>
        <w:t xml:space="preserve"> Example power savings that can be achieved with eDRX</w:t>
      </w:r>
    </w:p>
    <w:tbl>
      <w:tblPr>
        <w:tblStyle w:val="TableGrid"/>
        <w:tblW w:w="0" w:type="auto"/>
        <w:jc w:val="center"/>
        <w:tblLook w:val="04A0" w:firstRow="1" w:lastRow="0" w:firstColumn="1" w:lastColumn="0" w:noHBand="0" w:noVBand="1"/>
      </w:tblPr>
      <w:tblGrid>
        <w:gridCol w:w="1626"/>
        <w:gridCol w:w="1626"/>
        <w:gridCol w:w="1634"/>
        <w:gridCol w:w="1843"/>
        <w:gridCol w:w="2338"/>
      </w:tblGrid>
      <w:tr w:rsidR="00E82E6B" w14:paraId="7D5707C5" w14:textId="77777777" w:rsidTr="00F55CA4">
        <w:trPr>
          <w:jc w:val="center"/>
        </w:trPr>
        <w:tc>
          <w:tcPr>
            <w:tcW w:w="1626" w:type="dxa"/>
          </w:tcPr>
          <w:p w14:paraId="4F97423B" w14:textId="62A63E48" w:rsidR="00E82E6B" w:rsidRPr="00F55CA4" w:rsidRDefault="00E82E6B" w:rsidP="00F55CA4">
            <w:pPr>
              <w:jc w:val="left"/>
              <w:rPr>
                <w:b/>
              </w:rPr>
            </w:pPr>
            <w:r w:rsidRPr="00F55CA4">
              <w:rPr>
                <w:b/>
              </w:rPr>
              <w:t>Scenario</w:t>
            </w:r>
          </w:p>
        </w:tc>
        <w:tc>
          <w:tcPr>
            <w:tcW w:w="1626" w:type="dxa"/>
          </w:tcPr>
          <w:p w14:paraId="37E94ADC" w14:textId="6DAAE16F" w:rsidR="00E82E6B" w:rsidRPr="00F55CA4" w:rsidRDefault="00E82E6B" w:rsidP="00F55CA4">
            <w:pPr>
              <w:jc w:val="left"/>
              <w:rPr>
                <w:b/>
              </w:rPr>
            </w:pPr>
            <w:r w:rsidRPr="00F55CA4">
              <w:rPr>
                <w:b/>
              </w:rPr>
              <w:t>T</w:t>
            </w:r>
            <w:r w:rsidRPr="00F55CA4">
              <w:rPr>
                <w:b/>
                <w:vertAlign w:val="subscript"/>
              </w:rPr>
              <w:t>I-DRX</w:t>
            </w:r>
            <w:r w:rsidRPr="00F55CA4">
              <w:rPr>
                <w:b/>
              </w:rPr>
              <w:t xml:space="preserve"> (ms)</w:t>
            </w:r>
          </w:p>
        </w:tc>
        <w:tc>
          <w:tcPr>
            <w:tcW w:w="1634" w:type="dxa"/>
          </w:tcPr>
          <w:p w14:paraId="0BE9A288" w14:textId="77777777" w:rsidR="00E82E6B" w:rsidRPr="00F55CA4" w:rsidRDefault="00E82E6B" w:rsidP="00F55CA4">
            <w:pPr>
              <w:jc w:val="left"/>
              <w:rPr>
                <w:b/>
              </w:rPr>
            </w:pPr>
            <w:r w:rsidRPr="00F55CA4">
              <w:rPr>
                <w:b/>
              </w:rPr>
              <w:t>T</w:t>
            </w:r>
            <w:r w:rsidRPr="00F55CA4">
              <w:rPr>
                <w:b/>
                <w:vertAlign w:val="subscript"/>
              </w:rPr>
              <w:t>eDRX</w:t>
            </w:r>
            <w:r w:rsidRPr="00F55CA4">
              <w:rPr>
                <w:b/>
              </w:rPr>
              <w:t xml:space="preserve"> (ms)</w:t>
            </w:r>
          </w:p>
        </w:tc>
        <w:tc>
          <w:tcPr>
            <w:tcW w:w="1843" w:type="dxa"/>
          </w:tcPr>
          <w:p w14:paraId="1D0CEF42" w14:textId="77777777" w:rsidR="00E82E6B" w:rsidRPr="00F55CA4" w:rsidRDefault="00E82E6B" w:rsidP="00F55CA4">
            <w:pPr>
              <w:jc w:val="left"/>
              <w:rPr>
                <w:b/>
              </w:rPr>
            </w:pPr>
            <w:r w:rsidRPr="00F55CA4">
              <w:rPr>
                <w:b/>
              </w:rPr>
              <w:t>PTW length (ms)</w:t>
            </w:r>
          </w:p>
        </w:tc>
        <w:tc>
          <w:tcPr>
            <w:tcW w:w="2338" w:type="dxa"/>
          </w:tcPr>
          <w:p w14:paraId="14438521" w14:textId="1F7B9FFD" w:rsidR="00E82E6B" w:rsidRPr="00F55CA4" w:rsidRDefault="00E82E6B" w:rsidP="00F55CA4">
            <w:pPr>
              <w:jc w:val="left"/>
              <w:rPr>
                <w:b/>
              </w:rPr>
            </w:pPr>
            <w:r w:rsidRPr="00F55CA4">
              <w:rPr>
                <w:b/>
              </w:rPr>
              <w:t>% Savings</w:t>
            </w:r>
            <w:r w:rsidR="00F55CA4" w:rsidRPr="00F55CA4">
              <w:rPr>
                <w:b/>
              </w:rPr>
              <w:t xml:space="preserve"> with eDRX compared to I-DRX</w:t>
            </w:r>
          </w:p>
        </w:tc>
      </w:tr>
      <w:tr w:rsidR="00E82E6B" w14:paraId="575234D6" w14:textId="77777777" w:rsidTr="00F55CA4">
        <w:trPr>
          <w:jc w:val="center"/>
        </w:trPr>
        <w:tc>
          <w:tcPr>
            <w:tcW w:w="1626" w:type="dxa"/>
          </w:tcPr>
          <w:p w14:paraId="10627DA0" w14:textId="1EB04B31" w:rsidR="00E82E6B" w:rsidRDefault="00E82E6B" w:rsidP="005F3871">
            <w:r>
              <w:t>High SINR</w:t>
            </w:r>
          </w:p>
        </w:tc>
        <w:tc>
          <w:tcPr>
            <w:tcW w:w="1626" w:type="dxa"/>
          </w:tcPr>
          <w:p w14:paraId="0ED20708" w14:textId="78D4A247" w:rsidR="00E82E6B" w:rsidRDefault="00E82E6B" w:rsidP="005F3871">
            <w:r>
              <w:t>2560</w:t>
            </w:r>
          </w:p>
        </w:tc>
        <w:tc>
          <w:tcPr>
            <w:tcW w:w="1634" w:type="dxa"/>
          </w:tcPr>
          <w:p w14:paraId="2A647821" w14:textId="77777777" w:rsidR="00E82E6B" w:rsidRPr="003F1E73" w:rsidRDefault="00E82E6B" w:rsidP="005F3871">
            <w:r w:rsidRPr="003F1E73">
              <w:t>10</w:t>
            </w:r>
            <w:r>
              <w:t>,</w:t>
            </w:r>
            <w:r w:rsidRPr="003F1E73">
              <w:t>485</w:t>
            </w:r>
            <w:r>
              <w:t>,</w:t>
            </w:r>
            <w:r w:rsidRPr="003F1E73">
              <w:t>760</w:t>
            </w:r>
          </w:p>
        </w:tc>
        <w:tc>
          <w:tcPr>
            <w:tcW w:w="1843" w:type="dxa"/>
          </w:tcPr>
          <w:p w14:paraId="6B6142A2" w14:textId="77777777" w:rsidR="00E82E6B" w:rsidRDefault="00E82E6B" w:rsidP="005F3871">
            <w:r>
              <w:t>2560</w:t>
            </w:r>
          </w:p>
        </w:tc>
        <w:tc>
          <w:tcPr>
            <w:tcW w:w="2338" w:type="dxa"/>
          </w:tcPr>
          <w:p w14:paraId="0D4626FB" w14:textId="67084875" w:rsidR="00E82E6B" w:rsidRPr="009D71BB" w:rsidRDefault="00527158" w:rsidP="005F3871">
            <w:r w:rsidRPr="009D71BB">
              <w:t>29.02</w:t>
            </w:r>
          </w:p>
        </w:tc>
      </w:tr>
      <w:tr w:rsidR="00E82E6B" w14:paraId="7901CFC4" w14:textId="77777777" w:rsidTr="00F55CA4">
        <w:trPr>
          <w:jc w:val="center"/>
        </w:trPr>
        <w:tc>
          <w:tcPr>
            <w:tcW w:w="1626" w:type="dxa"/>
          </w:tcPr>
          <w:p w14:paraId="3F156B61" w14:textId="6C415404" w:rsidR="00E82E6B" w:rsidRDefault="00E82E6B" w:rsidP="005F3871">
            <w:r>
              <w:t>High SINR</w:t>
            </w:r>
          </w:p>
        </w:tc>
        <w:tc>
          <w:tcPr>
            <w:tcW w:w="1626" w:type="dxa"/>
          </w:tcPr>
          <w:p w14:paraId="07C1E4CA" w14:textId="2D7A121B" w:rsidR="00E82E6B" w:rsidRDefault="00E82E6B" w:rsidP="005F3871">
            <w:r>
              <w:t>1280</w:t>
            </w:r>
          </w:p>
        </w:tc>
        <w:tc>
          <w:tcPr>
            <w:tcW w:w="1634" w:type="dxa"/>
          </w:tcPr>
          <w:p w14:paraId="3472D434" w14:textId="77777777" w:rsidR="00E82E6B" w:rsidRDefault="00E82E6B" w:rsidP="005F3871">
            <w:r w:rsidRPr="003F1E73">
              <w:t>10</w:t>
            </w:r>
            <w:r>
              <w:t>,</w:t>
            </w:r>
            <w:r w:rsidRPr="003F1E73">
              <w:t>485</w:t>
            </w:r>
            <w:r>
              <w:t>,</w:t>
            </w:r>
            <w:r w:rsidRPr="003F1E73">
              <w:t>760</w:t>
            </w:r>
          </w:p>
        </w:tc>
        <w:tc>
          <w:tcPr>
            <w:tcW w:w="1843" w:type="dxa"/>
          </w:tcPr>
          <w:p w14:paraId="344398EC" w14:textId="77777777" w:rsidR="00E82E6B" w:rsidRDefault="00E82E6B" w:rsidP="005F3871">
            <w:r>
              <w:t>1280</w:t>
            </w:r>
          </w:p>
        </w:tc>
        <w:tc>
          <w:tcPr>
            <w:tcW w:w="2338" w:type="dxa"/>
          </w:tcPr>
          <w:p w14:paraId="204E5AE5" w14:textId="43D0A9D0" w:rsidR="00E82E6B" w:rsidRPr="009D71BB" w:rsidRDefault="00527158" w:rsidP="005F3871">
            <w:r w:rsidRPr="009D71BB">
              <w:t>44.99</w:t>
            </w:r>
          </w:p>
        </w:tc>
      </w:tr>
      <w:tr w:rsidR="00E82E6B" w14:paraId="7A6F833F" w14:textId="77777777" w:rsidTr="00F55CA4">
        <w:trPr>
          <w:jc w:val="center"/>
        </w:trPr>
        <w:tc>
          <w:tcPr>
            <w:tcW w:w="1626" w:type="dxa"/>
          </w:tcPr>
          <w:p w14:paraId="2E433072" w14:textId="214106A8" w:rsidR="00E82E6B" w:rsidRDefault="00E82E6B" w:rsidP="005F3871">
            <w:r>
              <w:t>High SINR</w:t>
            </w:r>
          </w:p>
        </w:tc>
        <w:tc>
          <w:tcPr>
            <w:tcW w:w="1626" w:type="dxa"/>
          </w:tcPr>
          <w:p w14:paraId="558C8478" w14:textId="33C52C59" w:rsidR="00E82E6B" w:rsidRDefault="00E82E6B" w:rsidP="005F3871">
            <w:r>
              <w:t>320</w:t>
            </w:r>
          </w:p>
        </w:tc>
        <w:tc>
          <w:tcPr>
            <w:tcW w:w="1634" w:type="dxa"/>
          </w:tcPr>
          <w:p w14:paraId="0AC2C996" w14:textId="77777777" w:rsidR="00E82E6B" w:rsidRDefault="00E82E6B" w:rsidP="005F3871">
            <w:r w:rsidRPr="003F1E73">
              <w:t>10</w:t>
            </w:r>
            <w:r>
              <w:t>,</w:t>
            </w:r>
            <w:r w:rsidRPr="003F1E73">
              <w:t>485</w:t>
            </w:r>
            <w:r>
              <w:t>,</w:t>
            </w:r>
            <w:r w:rsidRPr="003F1E73">
              <w:t>760</w:t>
            </w:r>
          </w:p>
        </w:tc>
        <w:tc>
          <w:tcPr>
            <w:tcW w:w="1843" w:type="dxa"/>
          </w:tcPr>
          <w:p w14:paraId="6DBC38BC" w14:textId="77777777" w:rsidR="00E82E6B" w:rsidRDefault="00E82E6B" w:rsidP="005F3871">
            <w:r>
              <w:t>320</w:t>
            </w:r>
          </w:p>
        </w:tc>
        <w:tc>
          <w:tcPr>
            <w:tcW w:w="2338" w:type="dxa"/>
          </w:tcPr>
          <w:p w14:paraId="68D97BCE" w14:textId="370F6D53" w:rsidR="00E82E6B" w:rsidRPr="009D71BB" w:rsidRDefault="00527158" w:rsidP="00527158">
            <w:r w:rsidRPr="009D71BB">
              <w:t>76.59</w:t>
            </w:r>
          </w:p>
        </w:tc>
      </w:tr>
      <w:tr w:rsidR="00E82E6B" w14:paraId="0E0A7B68" w14:textId="77777777" w:rsidTr="00F55CA4">
        <w:trPr>
          <w:jc w:val="center"/>
        </w:trPr>
        <w:tc>
          <w:tcPr>
            <w:tcW w:w="1626" w:type="dxa"/>
          </w:tcPr>
          <w:p w14:paraId="01ACFE3D" w14:textId="04ADCE63" w:rsidR="00E82E6B" w:rsidRDefault="00E82E6B" w:rsidP="00E82E6B">
            <w:r>
              <w:t>Low SINR</w:t>
            </w:r>
          </w:p>
        </w:tc>
        <w:tc>
          <w:tcPr>
            <w:tcW w:w="1626" w:type="dxa"/>
          </w:tcPr>
          <w:p w14:paraId="64A214F1" w14:textId="7A5F4A80" w:rsidR="00E82E6B" w:rsidRDefault="00E82E6B" w:rsidP="00E82E6B">
            <w:r>
              <w:t>2560</w:t>
            </w:r>
          </w:p>
        </w:tc>
        <w:tc>
          <w:tcPr>
            <w:tcW w:w="1634" w:type="dxa"/>
          </w:tcPr>
          <w:p w14:paraId="390A56E4" w14:textId="34BA0790" w:rsidR="00E82E6B" w:rsidRPr="003F1E73" w:rsidRDefault="00E82E6B" w:rsidP="00E82E6B">
            <w:r w:rsidRPr="003F1E73">
              <w:t>10</w:t>
            </w:r>
            <w:r>
              <w:t>,</w:t>
            </w:r>
            <w:r w:rsidRPr="003F1E73">
              <w:t>485</w:t>
            </w:r>
            <w:r>
              <w:t>,</w:t>
            </w:r>
            <w:r w:rsidRPr="003F1E73">
              <w:t>760</w:t>
            </w:r>
          </w:p>
        </w:tc>
        <w:tc>
          <w:tcPr>
            <w:tcW w:w="1843" w:type="dxa"/>
          </w:tcPr>
          <w:p w14:paraId="5CB4448A" w14:textId="5FC0EAEA" w:rsidR="00E82E6B" w:rsidRDefault="00E82E6B" w:rsidP="00E82E6B">
            <w:r>
              <w:t>2560</w:t>
            </w:r>
          </w:p>
        </w:tc>
        <w:tc>
          <w:tcPr>
            <w:tcW w:w="2338" w:type="dxa"/>
          </w:tcPr>
          <w:p w14:paraId="0AB64890" w14:textId="65E1DE0B" w:rsidR="00E82E6B" w:rsidRPr="009D71BB" w:rsidRDefault="00527158" w:rsidP="00527158">
            <w:r w:rsidRPr="009D71BB">
              <w:t>51.35</w:t>
            </w:r>
          </w:p>
        </w:tc>
      </w:tr>
      <w:tr w:rsidR="00E82E6B" w14:paraId="172E6AEA" w14:textId="77777777" w:rsidTr="00F55CA4">
        <w:trPr>
          <w:jc w:val="center"/>
        </w:trPr>
        <w:tc>
          <w:tcPr>
            <w:tcW w:w="1626" w:type="dxa"/>
          </w:tcPr>
          <w:p w14:paraId="432CF602" w14:textId="3A715EAE" w:rsidR="00E82E6B" w:rsidRDefault="00E82E6B" w:rsidP="00E82E6B">
            <w:r>
              <w:t>Low SINR</w:t>
            </w:r>
          </w:p>
        </w:tc>
        <w:tc>
          <w:tcPr>
            <w:tcW w:w="1626" w:type="dxa"/>
          </w:tcPr>
          <w:p w14:paraId="2EE69188" w14:textId="341A0AD6" w:rsidR="00E82E6B" w:rsidRDefault="00E82E6B" w:rsidP="00E82E6B">
            <w:r>
              <w:t>1280</w:t>
            </w:r>
          </w:p>
        </w:tc>
        <w:tc>
          <w:tcPr>
            <w:tcW w:w="1634" w:type="dxa"/>
          </w:tcPr>
          <w:p w14:paraId="5E69C9F9" w14:textId="661E906D" w:rsidR="00E82E6B" w:rsidRPr="003F1E73" w:rsidRDefault="00E82E6B" w:rsidP="00E82E6B">
            <w:r w:rsidRPr="003F1E73">
              <w:t>10</w:t>
            </w:r>
            <w:r>
              <w:t>,</w:t>
            </w:r>
            <w:r w:rsidRPr="003F1E73">
              <w:t>485</w:t>
            </w:r>
            <w:r>
              <w:t>,</w:t>
            </w:r>
            <w:r w:rsidRPr="003F1E73">
              <w:t>760</w:t>
            </w:r>
          </w:p>
        </w:tc>
        <w:tc>
          <w:tcPr>
            <w:tcW w:w="1843" w:type="dxa"/>
          </w:tcPr>
          <w:p w14:paraId="1B763ECF" w14:textId="3D9799E3" w:rsidR="00E82E6B" w:rsidRDefault="00E82E6B" w:rsidP="00E82E6B">
            <w:r>
              <w:t>1280</w:t>
            </w:r>
          </w:p>
        </w:tc>
        <w:tc>
          <w:tcPr>
            <w:tcW w:w="2338" w:type="dxa"/>
          </w:tcPr>
          <w:p w14:paraId="22544D83" w14:textId="2510447C" w:rsidR="00E82E6B" w:rsidRPr="009D71BB" w:rsidRDefault="00527158" w:rsidP="00527158">
            <w:r w:rsidRPr="009D71BB">
              <w:t>67.86</w:t>
            </w:r>
          </w:p>
        </w:tc>
      </w:tr>
      <w:tr w:rsidR="00E82E6B" w14:paraId="4A6913C7" w14:textId="77777777" w:rsidTr="00F55CA4">
        <w:trPr>
          <w:jc w:val="center"/>
        </w:trPr>
        <w:tc>
          <w:tcPr>
            <w:tcW w:w="1626" w:type="dxa"/>
          </w:tcPr>
          <w:p w14:paraId="6AC8620E" w14:textId="75A198B6" w:rsidR="00E82E6B" w:rsidRDefault="00E82E6B" w:rsidP="00E82E6B">
            <w:r>
              <w:t>Low SINR</w:t>
            </w:r>
          </w:p>
        </w:tc>
        <w:tc>
          <w:tcPr>
            <w:tcW w:w="1626" w:type="dxa"/>
          </w:tcPr>
          <w:p w14:paraId="2466A521" w14:textId="3B3CD084" w:rsidR="00E82E6B" w:rsidRDefault="00E82E6B" w:rsidP="00E82E6B">
            <w:r>
              <w:t>320</w:t>
            </w:r>
          </w:p>
        </w:tc>
        <w:tc>
          <w:tcPr>
            <w:tcW w:w="1634" w:type="dxa"/>
          </w:tcPr>
          <w:p w14:paraId="10D9A826" w14:textId="27182222" w:rsidR="00E82E6B" w:rsidRPr="003F1E73" w:rsidRDefault="00E82E6B" w:rsidP="00E82E6B">
            <w:r w:rsidRPr="003F1E73">
              <w:t>10</w:t>
            </w:r>
            <w:r>
              <w:t>,</w:t>
            </w:r>
            <w:r w:rsidRPr="003F1E73">
              <w:t>485</w:t>
            </w:r>
            <w:r>
              <w:t>,</w:t>
            </w:r>
            <w:r w:rsidRPr="003F1E73">
              <w:t>760</w:t>
            </w:r>
          </w:p>
        </w:tc>
        <w:tc>
          <w:tcPr>
            <w:tcW w:w="1843" w:type="dxa"/>
          </w:tcPr>
          <w:p w14:paraId="09148663" w14:textId="63E24572" w:rsidR="00E82E6B" w:rsidRDefault="00E82E6B" w:rsidP="00E82E6B">
            <w:r>
              <w:t>320</w:t>
            </w:r>
          </w:p>
        </w:tc>
        <w:tc>
          <w:tcPr>
            <w:tcW w:w="2338" w:type="dxa"/>
          </w:tcPr>
          <w:p w14:paraId="73742980" w14:textId="7C1FFF84" w:rsidR="00E82E6B" w:rsidRPr="009D71BB" w:rsidRDefault="00527158" w:rsidP="00527158">
            <w:r w:rsidRPr="009D71BB">
              <w:t>89.41</w:t>
            </w:r>
          </w:p>
        </w:tc>
      </w:tr>
    </w:tbl>
    <w:p w14:paraId="61A56949" w14:textId="77777777" w:rsidR="003F1E73" w:rsidRDefault="003F1E73" w:rsidP="000D1FFD"/>
    <w:p w14:paraId="4312764A" w14:textId="2E7A2225" w:rsidR="0078057B" w:rsidRDefault="0078057B" w:rsidP="000D1FFD">
      <w:r>
        <w:t>The above figures are based on the assumption that the deep sleep power factor P</w:t>
      </w:r>
      <w:r w:rsidRPr="0078057B">
        <w:rPr>
          <w:vertAlign w:val="subscript"/>
        </w:rPr>
        <w:t>DS</w:t>
      </w:r>
      <w:r>
        <w:t xml:space="preserve"> used in I-DRX (= 1) also applies when the UE does not monitor the paging outside the PTW in eDRX (in Idle mode). We expect that the actual power factor when the UE goes to sleep in eDRX to be considerably smaller than P</w:t>
      </w:r>
      <w:r w:rsidRPr="0078057B">
        <w:rPr>
          <w:vertAlign w:val="subscript"/>
        </w:rPr>
        <w:t>DS</w:t>
      </w:r>
      <w:r>
        <w:t xml:space="preserve"> in I-DRX (i.e. &lt;&lt; 1)</w:t>
      </w:r>
      <w:r w:rsidR="00B402C3">
        <w:t xml:space="preserve"> due to the longer sleep period</w:t>
      </w:r>
      <w:r>
        <w:t xml:space="preserve">. </w:t>
      </w:r>
      <w:r w:rsidR="00B402C3">
        <w:t>Therefore the gains shown above should be seen as ex</w:t>
      </w:r>
      <w:r w:rsidR="008854FA">
        <w:t>tremely conservative estimates</w:t>
      </w:r>
      <w:r w:rsidR="00B402C3">
        <w:t xml:space="preserve">, </w:t>
      </w:r>
      <w:r w:rsidR="008854FA">
        <w:t>with</w:t>
      </w:r>
      <w:r w:rsidR="00B402C3">
        <w:t xml:space="preserve"> real life power saving gains expected to be significantly higher</w:t>
      </w:r>
      <w:r>
        <w:t>.</w:t>
      </w:r>
    </w:p>
    <w:p w14:paraId="627D745B" w14:textId="1E7CBC83" w:rsidR="00D7590C" w:rsidRDefault="00B402C3" w:rsidP="000D1FFD">
      <w:r>
        <w:t xml:space="preserve">Given the power savings gains achievable, </w:t>
      </w:r>
      <w:r w:rsidR="00D7590C">
        <w:t xml:space="preserve">eDRX concepts and mechanisms such as PTW and </w:t>
      </w:r>
      <w:r w:rsidR="005A2F3D">
        <w:t>extension of</w:t>
      </w:r>
      <w:r w:rsidR="00D7590C">
        <w:t xml:space="preserve"> paging cycles </w:t>
      </w:r>
      <w:r w:rsidR="005A2F3D">
        <w:t>to hyper-frames that were introduced for</w:t>
      </w:r>
      <w:r w:rsidR="0078057B">
        <w:t xml:space="preserve"> </w:t>
      </w:r>
      <w:r w:rsidR="00D7590C">
        <w:t>LTE</w:t>
      </w:r>
      <w:r w:rsidR="0078057B">
        <w:t>/NB-IoT</w:t>
      </w:r>
      <w:r w:rsidR="00D7590C">
        <w:t xml:space="preserve"> </w:t>
      </w:r>
      <w:r w:rsidR="0078057B">
        <w:t>should</w:t>
      </w:r>
      <w:r w:rsidR="00D7590C">
        <w:t xml:space="preserve"> be re-used in RedCap. Further details such as the exact formulas for determining the PTW and any potential impact</w:t>
      </w:r>
      <w:r w:rsidR="005A2F3D">
        <w:t>s</w:t>
      </w:r>
      <w:r w:rsidR="00D7590C">
        <w:t xml:space="preserve"> on</w:t>
      </w:r>
      <w:r w:rsidR="005A2F3D">
        <w:t xml:space="preserve"> other procedures such as</w:t>
      </w:r>
      <w:r w:rsidR="00D7590C">
        <w:t xml:space="preserve"> system information modification can be discussed during the work item phase.</w:t>
      </w:r>
    </w:p>
    <w:p w14:paraId="3655A2CE" w14:textId="725DA080" w:rsidR="00101FF6" w:rsidRDefault="0009659E" w:rsidP="000D1FFD">
      <w:r>
        <w:t>Note</w:t>
      </w:r>
      <w:r w:rsidR="00101FF6">
        <w:t xml:space="preserve"> that 5G core network (5GC) already supports the required NAS </w:t>
      </w:r>
      <w:r w:rsidR="00E37EDA">
        <w:t xml:space="preserve">procedures and </w:t>
      </w:r>
      <w:r w:rsidR="00101FF6">
        <w:t>signalling for eDRX</w:t>
      </w:r>
      <w:r w:rsidR="009434F0">
        <w:t>,</w:t>
      </w:r>
      <w:r w:rsidR="00101FF6">
        <w:t xml:space="preserve"> in </w:t>
      </w:r>
      <w:r w:rsidR="00E37EDA">
        <w:t>Registration Request</w:t>
      </w:r>
      <w:r w:rsidR="009434F0">
        <w:t xml:space="preserve"> (</w:t>
      </w:r>
      <w:r>
        <w:t xml:space="preserve">in </w:t>
      </w:r>
      <w:r w:rsidR="009434F0" w:rsidRPr="005E142F">
        <w:t>Requested extended DRX parameters</w:t>
      </w:r>
      <w:r w:rsidR="009434F0">
        <w:t>) and</w:t>
      </w:r>
      <w:r w:rsidR="00E37EDA">
        <w:t xml:space="preserve"> Registration Accept </w:t>
      </w:r>
      <w:r w:rsidR="009434F0">
        <w:t>(</w:t>
      </w:r>
      <w:r>
        <w:t xml:space="preserve">in </w:t>
      </w:r>
      <w:r w:rsidR="009434F0" w:rsidRPr="005E142F">
        <w:t>Negotiated extended DRX parameters</w:t>
      </w:r>
      <w:r w:rsidR="009434F0">
        <w:t>) messages</w:t>
      </w:r>
      <w:r w:rsidR="000C64D5">
        <w:t xml:space="preserve"> </w:t>
      </w:r>
      <w:r w:rsidR="000C64D5">
        <w:fldChar w:fldCharType="begin"/>
      </w:r>
      <w:r w:rsidR="000C64D5">
        <w:instrText xml:space="preserve"> REF _Ref47107517 \r \h </w:instrText>
      </w:r>
      <w:r w:rsidR="000C64D5">
        <w:fldChar w:fldCharType="separate"/>
      </w:r>
      <w:r w:rsidR="000C64D5">
        <w:t>[7]</w:t>
      </w:r>
      <w:r w:rsidR="000C64D5">
        <w:fldChar w:fldCharType="end"/>
      </w:r>
      <w:r w:rsidR="00101FF6">
        <w:t>.</w:t>
      </w:r>
      <w:r w:rsidR="00E37EDA">
        <w:t xml:space="preserve"> </w:t>
      </w:r>
      <w:r w:rsidR="000C64D5">
        <w:t>Therefore</w:t>
      </w:r>
      <w:r w:rsidR="00E37EDA">
        <w:t xml:space="preserve"> introducing eDRX for RedCap in NR is expected to have little or no impact on the 5GC core network specifications. </w:t>
      </w:r>
      <w:r w:rsidR="00B402C3">
        <w:t>However t</w:t>
      </w:r>
      <w:r>
        <w:t xml:space="preserve">o be on the safe side, we think that </w:t>
      </w:r>
      <w:r w:rsidR="000C64D5">
        <w:t>RAN2 sh</w:t>
      </w:r>
      <w:r w:rsidR="00E37EDA">
        <w:t xml:space="preserve">ould send an LS to SA2 to inform </w:t>
      </w:r>
      <w:r w:rsidR="008854FA">
        <w:t xml:space="preserve">them of </w:t>
      </w:r>
      <w:r w:rsidR="00E37EDA">
        <w:t xml:space="preserve">the recommendation to support eDRX in NR for RedCap </w:t>
      </w:r>
      <w:r w:rsidR="004B3FEE">
        <w:t xml:space="preserve">UEs </w:t>
      </w:r>
      <w:r w:rsidR="00E37EDA">
        <w:t xml:space="preserve">and </w:t>
      </w:r>
      <w:r w:rsidR="008854FA">
        <w:t xml:space="preserve">to check </w:t>
      </w:r>
      <w:r w:rsidR="004B3FEE">
        <w:t>if there are</w:t>
      </w:r>
      <w:r w:rsidR="00E37EDA">
        <w:t xml:space="preserve"> any potential concerns.</w:t>
      </w:r>
    </w:p>
    <w:p w14:paraId="77451A3F" w14:textId="14039FCC" w:rsidR="005A2F3D" w:rsidRPr="007D0412" w:rsidRDefault="005A2F3D" w:rsidP="005A2F3D">
      <w:pPr>
        <w:rPr>
          <w:b/>
        </w:rPr>
      </w:pPr>
      <w:r w:rsidRPr="007D0412">
        <w:rPr>
          <w:b/>
        </w:rPr>
        <w:t>Proposal</w:t>
      </w:r>
      <w:r w:rsidR="00AC7D8C">
        <w:rPr>
          <w:b/>
        </w:rPr>
        <w:t xml:space="preserve"> 1</w:t>
      </w:r>
      <w:r w:rsidRPr="007D0412">
        <w:rPr>
          <w:b/>
        </w:rPr>
        <w:t xml:space="preserve">: </w:t>
      </w:r>
      <w:r>
        <w:rPr>
          <w:b/>
        </w:rPr>
        <w:t>eDRX mechanisms in</w:t>
      </w:r>
      <w:r w:rsidRPr="007D0412">
        <w:rPr>
          <w:b/>
        </w:rPr>
        <w:t xml:space="preserve"> LTE/NB-IoT </w:t>
      </w:r>
      <w:r>
        <w:rPr>
          <w:b/>
        </w:rPr>
        <w:t>such as PTW and HFN are used as the baseline for introducing eDRX in</w:t>
      </w:r>
      <w:r w:rsidRPr="007D0412">
        <w:rPr>
          <w:b/>
        </w:rPr>
        <w:t xml:space="preserve"> RedCap.</w:t>
      </w:r>
      <w:r w:rsidR="00056086">
        <w:rPr>
          <w:b/>
        </w:rPr>
        <w:t xml:space="preserve"> The exact formulas and impact on other procedures can be discussed during the work item phase.</w:t>
      </w:r>
    </w:p>
    <w:p w14:paraId="408D5774" w14:textId="5AC1B357" w:rsidR="00D7590C" w:rsidRPr="005A2F3D" w:rsidRDefault="005A2F3D" w:rsidP="000D1FFD">
      <w:pPr>
        <w:rPr>
          <w:b/>
        </w:rPr>
      </w:pPr>
      <w:r w:rsidRPr="007D0412">
        <w:rPr>
          <w:b/>
        </w:rPr>
        <w:lastRenderedPageBreak/>
        <w:t>Proposal</w:t>
      </w:r>
      <w:r w:rsidR="00AC7D8C">
        <w:rPr>
          <w:b/>
        </w:rPr>
        <w:t xml:space="preserve"> 2</w:t>
      </w:r>
      <w:r w:rsidRPr="007D0412">
        <w:rPr>
          <w:b/>
        </w:rPr>
        <w:t xml:space="preserve">: </w:t>
      </w:r>
      <w:r w:rsidR="00FC1DB3">
        <w:rPr>
          <w:b/>
        </w:rPr>
        <w:t>RAN2 to s</w:t>
      </w:r>
      <w:r w:rsidRPr="007D0412">
        <w:rPr>
          <w:b/>
        </w:rPr>
        <w:t>end</w:t>
      </w:r>
      <w:r>
        <w:rPr>
          <w:b/>
        </w:rPr>
        <w:t xml:space="preserve"> an</w:t>
      </w:r>
      <w:r w:rsidRPr="007D0412">
        <w:rPr>
          <w:b/>
        </w:rPr>
        <w:t xml:space="preserve"> LS to SA2 with recommendation</w:t>
      </w:r>
      <w:r w:rsidR="00FC1DB3">
        <w:rPr>
          <w:b/>
        </w:rPr>
        <w:t xml:space="preserve"> to introduce eDRX</w:t>
      </w:r>
      <w:r w:rsidRPr="007D0412">
        <w:rPr>
          <w:b/>
        </w:rPr>
        <w:t xml:space="preserve">, </w:t>
      </w:r>
      <w:r>
        <w:rPr>
          <w:b/>
        </w:rPr>
        <w:t>to</w:t>
      </w:r>
      <w:r w:rsidRPr="007D0412">
        <w:rPr>
          <w:b/>
        </w:rPr>
        <w:t xml:space="preserve"> check if there </w:t>
      </w:r>
      <w:r>
        <w:rPr>
          <w:b/>
        </w:rPr>
        <w:t>are any potential issues for RedCap from 5GC perspective.</w:t>
      </w:r>
    </w:p>
    <w:p w14:paraId="7F3C3CFC" w14:textId="77777777" w:rsidR="00696C01" w:rsidRPr="006B1293" w:rsidRDefault="00696C01" w:rsidP="00552344"/>
    <w:p w14:paraId="32CC21C6" w14:textId="7FEF2F6F" w:rsidR="00DF68E7" w:rsidRPr="00D46A4D" w:rsidRDefault="0030648E" w:rsidP="00287A26">
      <w:pPr>
        <w:pStyle w:val="Heading1"/>
        <w:rPr>
          <w:rFonts w:ascii="Times New Roman" w:hAnsi="Times New Roman"/>
        </w:rPr>
      </w:pPr>
      <w:r w:rsidRPr="00D46A4D">
        <w:rPr>
          <w:rFonts w:ascii="Times New Roman" w:hAnsi="Times New Roman"/>
        </w:rPr>
        <w:t>3</w:t>
      </w:r>
      <w:r w:rsidR="00D76DB5" w:rsidRPr="00D46A4D">
        <w:rPr>
          <w:rFonts w:ascii="Times New Roman" w:hAnsi="Times New Roman"/>
        </w:rPr>
        <w:t xml:space="preserve"> Conclusion</w:t>
      </w:r>
    </w:p>
    <w:p w14:paraId="012CE42D" w14:textId="573D9BF3" w:rsidR="00E117F3" w:rsidRDefault="00AC7D8C" w:rsidP="00B166DB">
      <w:r>
        <w:t>W</w:t>
      </w:r>
      <w:r w:rsidRPr="00AC7D8C">
        <w:t xml:space="preserve">e have the following </w:t>
      </w:r>
      <w:r w:rsidR="00885A08">
        <w:t>observation</w:t>
      </w:r>
      <w:r>
        <w:t xml:space="preserve"> and proposal</w:t>
      </w:r>
      <w:r w:rsidR="009A0D5E">
        <w:t>s for introducing eDRX in NR for RedCap</w:t>
      </w:r>
      <w:r>
        <w:t>:</w:t>
      </w:r>
    </w:p>
    <w:p w14:paraId="51FCC39F" w14:textId="0CF9EAF1" w:rsidR="00AC7D8C" w:rsidRPr="00AC7D8C" w:rsidRDefault="00AC7D8C" w:rsidP="00AC7D8C">
      <w:pPr>
        <w:rPr>
          <w:b/>
        </w:rPr>
      </w:pPr>
      <w:r w:rsidRPr="00AC7D8C">
        <w:rPr>
          <w:b/>
        </w:rPr>
        <w:t>Observation</w:t>
      </w:r>
      <w:r w:rsidR="00135545">
        <w:rPr>
          <w:b/>
        </w:rPr>
        <w:t xml:space="preserve"> 1</w:t>
      </w:r>
      <w:r w:rsidRPr="00AC7D8C">
        <w:rPr>
          <w:b/>
        </w:rPr>
        <w:t>: Introducing eDRX UEs can be beneficial for industrial wireless sensors and wearables use cases in RedCap.</w:t>
      </w:r>
    </w:p>
    <w:p w14:paraId="7F4BC804" w14:textId="77777777" w:rsidR="00AC7D8C" w:rsidRPr="007D0412" w:rsidRDefault="00AC7D8C" w:rsidP="00AC7D8C">
      <w:pPr>
        <w:rPr>
          <w:b/>
        </w:rPr>
      </w:pPr>
      <w:r w:rsidRPr="007D0412">
        <w:rPr>
          <w:b/>
        </w:rPr>
        <w:t>Proposal</w:t>
      </w:r>
      <w:r>
        <w:rPr>
          <w:b/>
        </w:rPr>
        <w:t xml:space="preserve"> 1</w:t>
      </w:r>
      <w:r w:rsidRPr="007D0412">
        <w:rPr>
          <w:b/>
        </w:rPr>
        <w:t xml:space="preserve">: </w:t>
      </w:r>
      <w:r>
        <w:rPr>
          <w:b/>
        </w:rPr>
        <w:t>eDRX mechanisms in</w:t>
      </w:r>
      <w:r w:rsidRPr="007D0412">
        <w:rPr>
          <w:b/>
        </w:rPr>
        <w:t xml:space="preserve"> LTE/NB-IoT </w:t>
      </w:r>
      <w:r>
        <w:rPr>
          <w:b/>
        </w:rPr>
        <w:t>such as PTW and HFN are used as the baseline for introducing eDRX in</w:t>
      </w:r>
      <w:r w:rsidRPr="007D0412">
        <w:rPr>
          <w:b/>
        </w:rPr>
        <w:t xml:space="preserve"> RedCap.</w:t>
      </w:r>
      <w:r>
        <w:rPr>
          <w:b/>
        </w:rPr>
        <w:t xml:space="preserve"> The exact formulas and impact on other procedures can be discussed during the work item phase.</w:t>
      </w:r>
    </w:p>
    <w:p w14:paraId="7CD22A9A" w14:textId="63F3D956" w:rsidR="00AC7D8C" w:rsidRDefault="00FC1DB3" w:rsidP="00B166DB">
      <w:pPr>
        <w:rPr>
          <w:b/>
        </w:rPr>
      </w:pPr>
      <w:r w:rsidRPr="007D0412">
        <w:rPr>
          <w:b/>
        </w:rPr>
        <w:t>Proposal</w:t>
      </w:r>
      <w:r>
        <w:rPr>
          <w:b/>
        </w:rPr>
        <w:t xml:space="preserve"> 2</w:t>
      </w:r>
      <w:r w:rsidRPr="007D0412">
        <w:rPr>
          <w:b/>
        </w:rPr>
        <w:t xml:space="preserve">: </w:t>
      </w:r>
      <w:r>
        <w:rPr>
          <w:b/>
        </w:rPr>
        <w:t>RAN2 to s</w:t>
      </w:r>
      <w:r w:rsidRPr="007D0412">
        <w:rPr>
          <w:b/>
        </w:rPr>
        <w:t>end</w:t>
      </w:r>
      <w:r>
        <w:rPr>
          <w:b/>
        </w:rPr>
        <w:t xml:space="preserve"> an</w:t>
      </w:r>
      <w:r w:rsidRPr="007D0412">
        <w:rPr>
          <w:b/>
        </w:rPr>
        <w:t xml:space="preserve"> LS to SA2 with recommendation</w:t>
      </w:r>
      <w:r>
        <w:rPr>
          <w:b/>
        </w:rPr>
        <w:t xml:space="preserve"> to introduce eDRX</w:t>
      </w:r>
      <w:r w:rsidRPr="007D0412">
        <w:rPr>
          <w:b/>
        </w:rPr>
        <w:t xml:space="preserve">, </w:t>
      </w:r>
      <w:r>
        <w:rPr>
          <w:b/>
        </w:rPr>
        <w:t>to</w:t>
      </w:r>
      <w:r w:rsidRPr="007D0412">
        <w:rPr>
          <w:b/>
        </w:rPr>
        <w:t xml:space="preserve"> check if there </w:t>
      </w:r>
      <w:r>
        <w:rPr>
          <w:b/>
        </w:rPr>
        <w:t>are any potential issues for RedCap from 5GC perspective.</w:t>
      </w:r>
    </w:p>
    <w:p w14:paraId="16D6C9C8" w14:textId="77777777" w:rsidR="00AC7D8C" w:rsidRPr="00AC7D8C" w:rsidRDefault="00AC7D8C" w:rsidP="00B166DB">
      <w:pPr>
        <w:rPr>
          <w:b/>
        </w:rPr>
      </w:pPr>
    </w:p>
    <w:p w14:paraId="4E445F4D" w14:textId="24808BCC" w:rsidR="00DF68E7" w:rsidRPr="00D46A4D" w:rsidRDefault="00663380" w:rsidP="00DF68E7">
      <w:pPr>
        <w:pStyle w:val="Heading1"/>
        <w:rPr>
          <w:rFonts w:ascii="Times New Roman" w:hAnsi="Times New Roman"/>
        </w:rPr>
      </w:pPr>
      <w:r>
        <w:rPr>
          <w:rFonts w:ascii="Times New Roman" w:hAnsi="Times New Roman"/>
        </w:rPr>
        <w:t>4</w:t>
      </w:r>
      <w:r w:rsidR="00DF68E7" w:rsidRPr="00D46A4D">
        <w:rPr>
          <w:rFonts w:ascii="Times New Roman" w:hAnsi="Times New Roman"/>
        </w:rPr>
        <w:t xml:space="preserve"> References</w:t>
      </w:r>
    </w:p>
    <w:p w14:paraId="239B2E32" w14:textId="4E156117" w:rsidR="007E6DA7" w:rsidRDefault="00F53AAE" w:rsidP="00F53AAE">
      <w:pPr>
        <w:pStyle w:val="ListParagraph"/>
        <w:numPr>
          <w:ilvl w:val="0"/>
          <w:numId w:val="1"/>
        </w:numPr>
        <w:overflowPunct/>
        <w:autoSpaceDE/>
        <w:autoSpaceDN/>
        <w:adjustRightInd/>
        <w:spacing w:after="60"/>
        <w:contextualSpacing w:val="0"/>
        <w:textAlignment w:val="auto"/>
      </w:pPr>
      <w:bookmarkStart w:id="4" w:name="_Ref47001309"/>
      <w:r w:rsidRPr="00F53AAE">
        <w:t>RP-193238 New SID on support of reduced capability NR devices</w:t>
      </w:r>
      <w:bookmarkEnd w:id="4"/>
    </w:p>
    <w:p w14:paraId="3C97C129" w14:textId="32FB9D3A" w:rsidR="000D1FFD" w:rsidRDefault="000D1FFD" w:rsidP="000D1FFD">
      <w:pPr>
        <w:pStyle w:val="ListParagraph"/>
        <w:numPr>
          <w:ilvl w:val="0"/>
          <w:numId w:val="1"/>
        </w:numPr>
        <w:overflowPunct/>
        <w:autoSpaceDE/>
        <w:autoSpaceDN/>
        <w:adjustRightInd/>
        <w:spacing w:after="60"/>
        <w:contextualSpacing w:val="0"/>
        <w:textAlignment w:val="auto"/>
      </w:pPr>
      <w:r w:rsidRPr="000D1FFD">
        <w:t>RP-192160</w:t>
      </w:r>
      <w:r>
        <w:t xml:space="preserve"> Summary of email discussion </w:t>
      </w:r>
      <w:r w:rsidRPr="000D1FFD">
        <w:t>on NR-Light</w:t>
      </w:r>
      <w:r>
        <w:t>, Ericsson</w:t>
      </w:r>
    </w:p>
    <w:p w14:paraId="12A711A4" w14:textId="7DED8DC2" w:rsidR="00101FF6" w:rsidRDefault="00101FF6" w:rsidP="00E75B12">
      <w:pPr>
        <w:pStyle w:val="ListParagraph"/>
        <w:numPr>
          <w:ilvl w:val="0"/>
          <w:numId w:val="1"/>
        </w:numPr>
        <w:overflowPunct/>
        <w:autoSpaceDE/>
        <w:autoSpaceDN/>
        <w:adjustRightInd/>
        <w:spacing w:after="60"/>
        <w:contextualSpacing w:val="0"/>
        <w:textAlignment w:val="auto"/>
      </w:pPr>
      <w:r>
        <w:t>TS 36.304</w:t>
      </w:r>
      <w:r w:rsidR="00E75B12">
        <w:t xml:space="preserve"> </w:t>
      </w:r>
      <w:r w:rsidR="00E75B12" w:rsidRPr="00E75B12">
        <w:t>User Equipment (UE) procedures in idle mode</w:t>
      </w:r>
    </w:p>
    <w:p w14:paraId="2E5C8BCF" w14:textId="32A5180C" w:rsidR="00101FF6" w:rsidRDefault="00101FF6" w:rsidP="00E75B12">
      <w:pPr>
        <w:pStyle w:val="ListParagraph"/>
        <w:numPr>
          <w:ilvl w:val="0"/>
          <w:numId w:val="1"/>
        </w:numPr>
        <w:overflowPunct/>
        <w:autoSpaceDE/>
        <w:autoSpaceDN/>
        <w:adjustRightInd/>
        <w:spacing w:after="60"/>
        <w:contextualSpacing w:val="0"/>
        <w:textAlignment w:val="auto"/>
      </w:pPr>
      <w:r>
        <w:t>TS 36.331</w:t>
      </w:r>
      <w:r w:rsidR="00E75B12">
        <w:t xml:space="preserve"> Radio Resource Control (RRC)</w:t>
      </w:r>
    </w:p>
    <w:p w14:paraId="4452874F" w14:textId="34011C2C" w:rsidR="00101FF6" w:rsidRDefault="00101FF6" w:rsidP="00E75B12">
      <w:pPr>
        <w:pStyle w:val="ListParagraph"/>
        <w:numPr>
          <w:ilvl w:val="0"/>
          <w:numId w:val="1"/>
        </w:numPr>
        <w:overflowPunct/>
        <w:autoSpaceDE/>
        <w:autoSpaceDN/>
        <w:adjustRightInd/>
        <w:spacing w:after="60"/>
        <w:contextualSpacing w:val="0"/>
        <w:textAlignment w:val="auto"/>
      </w:pPr>
      <w:r>
        <w:t>TS 38.304</w:t>
      </w:r>
      <w:r w:rsidR="00E75B12">
        <w:t xml:space="preserve"> </w:t>
      </w:r>
      <w:r w:rsidR="00E75B12" w:rsidRPr="00E75B12">
        <w:t>User Equipment (UE) procedures in Idle mode and RRC Inactive state</w:t>
      </w:r>
    </w:p>
    <w:p w14:paraId="67BD2134" w14:textId="77FEE105" w:rsidR="00101FF6" w:rsidRDefault="00101FF6" w:rsidP="00E75B12">
      <w:pPr>
        <w:pStyle w:val="ListParagraph"/>
        <w:numPr>
          <w:ilvl w:val="0"/>
          <w:numId w:val="1"/>
        </w:numPr>
        <w:overflowPunct/>
        <w:autoSpaceDE/>
        <w:autoSpaceDN/>
        <w:adjustRightInd/>
        <w:spacing w:after="60"/>
        <w:contextualSpacing w:val="0"/>
        <w:textAlignment w:val="auto"/>
      </w:pPr>
      <w:r>
        <w:t>TS 38.331</w:t>
      </w:r>
      <w:r w:rsidR="00E75B12">
        <w:t xml:space="preserve"> </w:t>
      </w:r>
      <w:r w:rsidR="00E75B12" w:rsidRPr="00E75B12">
        <w:t>Radio Resource Control (RRC) protocol specification</w:t>
      </w:r>
    </w:p>
    <w:p w14:paraId="5A3F562A" w14:textId="4AF3C156" w:rsidR="00101FF6" w:rsidRDefault="00101FF6" w:rsidP="00E75B12">
      <w:pPr>
        <w:pStyle w:val="ListParagraph"/>
        <w:numPr>
          <w:ilvl w:val="0"/>
          <w:numId w:val="1"/>
        </w:numPr>
        <w:overflowPunct/>
        <w:autoSpaceDE/>
        <w:autoSpaceDN/>
        <w:adjustRightInd/>
        <w:spacing w:after="60"/>
        <w:contextualSpacing w:val="0"/>
        <w:textAlignment w:val="auto"/>
      </w:pPr>
      <w:bookmarkStart w:id="5" w:name="_Ref47107517"/>
      <w:r>
        <w:t>TS 24.501</w:t>
      </w:r>
      <w:bookmarkEnd w:id="5"/>
      <w:r w:rsidR="00E75B12">
        <w:t xml:space="preserve"> Non-Access-Stratum (NAS) protocol for 5G System (5GS)</w:t>
      </w:r>
    </w:p>
    <w:p w14:paraId="0A6D728A" w14:textId="5539AB76" w:rsidR="0078057B" w:rsidRPr="00D46A4D" w:rsidRDefault="0078057B" w:rsidP="00E75B12">
      <w:pPr>
        <w:pStyle w:val="ListParagraph"/>
        <w:numPr>
          <w:ilvl w:val="0"/>
          <w:numId w:val="1"/>
        </w:numPr>
        <w:overflowPunct/>
        <w:autoSpaceDE/>
        <w:autoSpaceDN/>
        <w:adjustRightInd/>
        <w:spacing w:after="60"/>
        <w:contextualSpacing w:val="0"/>
        <w:textAlignment w:val="auto"/>
      </w:pPr>
      <w:bookmarkStart w:id="6" w:name="_Ref47453376"/>
      <w:r>
        <w:t>TR 38.840</w:t>
      </w:r>
      <w:bookmarkEnd w:id="6"/>
      <w:r w:rsidR="00E75B12">
        <w:t xml:space="preserve"> </w:t>
      </w:r>
      <w:r w:rsidR="00E75B12" w:rsidRPr="00E75B12">
        <w:t>Study on User Equipment (UE) power saving in NR</w:t>
      </w:r>
    </w:p>
    <w:sectPr w:rsidR="0078057B" w:rsidRPr="00D46A4D" w:rsidSect="0047408E">
      <w:headerReference w:type="even" r:id="rId13"/>
      <w:headerReference w:type="default" r:id="rId14"/>
      <w:footerReference w:type="even" r:id="rId15"/>
      <w:footerReference w:type="default" r:id="rId16"/>
      <w:headerReference w:type="first" r:id="rId17"/>
      <w:footerReference w:type="first" r:id="rId18"/>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6319C1" w14:textId="77777777" w:rsidR="004D2BF9" w:rsidRDefault="004D2BF9" w:rsidP="00BD754F">
      <w:pPr>
        <w:spacing w:after="0"/>
      </w:pPr>
      <w:r>
        <w:separator/>
      </w:r>
    </w:p>
  </w:endnote>
  <w:endnote w:type="continuationSeparator" w:id="0">
    <w:p w14:paraId="565EBCA9" w14:textId="77777777" w:rsidR="004D2BF9" w:rsidRDefault="004D2BF9" w:rsidP="00BD75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1C82E7" w14:textId="77777777" w:rsidR="0019742A" w:rsidRDefault="0019742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0890C4" w14:textId="77777777" w:rsidR="0019742A" w:rsidRDefault="0019742A">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1B2229" w14:textId="77777777" w:rsidR="0019742A" w:rsidRDefault="0019742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0F5680" w14:textId="77777777" w:rsidR="004D2BF9" w:rsidRDefault="004D2BF9" w:rsidP="00BD754F">
      <w:pPr>
        <w:spacing w:after="0"/>
      </w:pPr>
      <w:r>
        <w:separator/>
      </w:r>
    </w:p>
  </w:footnote>
  <w:footnote w:type="continuationSeparator" w:id="0">
    <w:p w14:paraId="6B7EC270" w14:textId="77777777" w:rsidR="004D2BF9" w:rsidRDefault="004D2BF9" w:rsidP="00BD754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CCE06C" w14:textId="77777777" w:rsidR="0019742A" w:rsidRDefault="0019742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DB215D" w14:textId="77777777" w:rsidR="0019742A" w:rsidRDefault="0019742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716D5B" w14:textId="77777777" w:rsidR="0019742A" w:rsidRDefault="0019742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45513"/>
    <w:multiLevelType w:val="hybridMultilevel"/>
    <w:tmpl w:val="DC6E20A2"/>
    <w:lvl w:ilvl="0" w:tplc="45E6FD88">
      <w:start w:val="1"/>
      <w:numFmt w:val="decimal"/>
      <w:lvlText w:val="[%1]."/>
      <w:lvlJc w:val="left"/>
      <w:pPr>
        <w:ind w:left="360" w:hanging="360"/>
      </w:pPr>
      <w:rPr>
        <w:rFonts w:ascii="Times New Roman" w:hAnsi="Times New Roman" w:cs="Times New Roman"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3C67289"/>
    <w:multiLevelType w:val="hybridMultilevel"/>
    <w:tmpl w:val="90F6AF8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073B11D6"/>
    <w:multiLevelType w:val="multilevel"/>
    <w:tmpl w:val="E118E4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A78496F"/>
    <w:multiLevelType w:val="hybridMultilevel"/>
    <w:tmpl w:val="D76A84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C631D3"/>
    <w:multiLevelType w:val="hybridMultilevel"/>
    <w:tmpl w:val="71E61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A82744"/>
    <w:multiLevelType w:val="hybridMultilevel"/>
    <w:tmpl w:val="0DFCC7FA"/>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3A2FC3"/>
    <w:multiLevelType w:val="hybridMultilevel"/>
    <w:tmpl w:val="B76078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3C52B8"/>
    <w:multiLevelType w:val="hybridMultilevel"/>
    <w:tmpl w:val="40CC42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7236EB"/>
    <w:multiLevelType w:val="hybridMultilevel"/>
    <w:tmpl w:val="4142E8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C0F165B"/>
    <w:multiLevelType w:val="hybridMultilevel"/>
    <w:tmpl w:val="B76078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1FA65FC7"/>
    <w:multiLevelType w:val="hybridMultilevel"/>
    <w:tmpl w:val="5930F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557E2B"/>
    <w:multiLevelType w:val="hybridMultilevel"/>
    <w:tmpl w:val="1B529B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2E263D8"/>
    <w:multiLevelType w:val="hybridMultilevel"/>
    <w:tmpl w:val="2ACA02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53A59F3"/>
    <w:multiLevelType w:val="hybridMultilevel"/>
    <w:tmpl w:val="19BC9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6EF5D94"/>
    <w:multiLevelType w:val="hybridMultilevel"/>
    <w:tmpl w:val="2D9063EA"/>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C70051C"/>
    <w:multiLevelType w:val="hybridMultilevel"/>
    <w:tmpl w:val="F4FE3D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C840FE9"/>
    <w:multiLevelType w:val="hybridMultilevel"/>
    <w:tmpl w:val="DA2C8318"/>
    <w:lvl w:ilvl="0" w:tplc="4B44F71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02138B"/>
    <w:multiLevelType w:val="hybridMultilevel"/>
    <w:tmpl w:val="B96613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25A5111"/>
    <w:multiLevelType w:val="hybridMultilevel"/>
    <w:tmpl w:val="9AFAF9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4611A80"/>
    <w:multiLevelType w:val="hybridMultilevel"/>
    <w:tmpl w:val="C6A2B6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5194E28"/>
    <w:multiLevelType w:val="hybridMultilevel"/>
    <w:tmpl w:val="3BFEFE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59716B1"/>
    <w:multiLevelType w:val="hybridMultilevel"/>
    <w:tmpl w:val="027E1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81659EB"/>
    <w:multiLevelType w:val="hybridMultilevel"/>
    <w:tmpl w:val="C7B4DD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945580E"/>
    <w:multiLevelType w:val="hybridMultilevel"/>
    <w:tmpl w:val="A8ECD79C"/>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3DD43A00"/>
    <w:multiLevelType w:val="hybridMultilevel"/>
    <w:tmpl w:val="4970DE74"/>
    <w:lvl w:ilvl="0" w:tplc="F59C0AB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402B0637"/>
    <w:multiLevelType w:val="hybridMultilevel"/>
    <w:tmpl w:val="1D0E25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3717B2B"/>
    <w:multiLevelType w:val="hybridMultilevel"/>
    <w:tmpl w:val="CFB63058"/>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29" w15:restartNumberingAfterBreak="0">
    <w:nsid w:val="4AED2FB9"/>
    <w:multiLevelType w:val="hybridMultilevel"/>
    <w:tmpl w:val="F4FE3D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ECB1A39"/>
    <w:multiLevelType w:val="hybridMultilevel"/>
    <w:tmpl w:val="EE803DA0"/>
    <w:lvl w:ilvl="0" w:tplc="20BEA370">
      <w:start w:val="1"/>
      <w:numFmt w:val="decimal"/>
      <w:lvlText w:val="%1."/>
      <w:lvlJc w:val="left"/>
      <w:pPr>
        <w:ind w:left="1619" w:hanging="360"/>
      </w:pPr>
      <w:rPr>
        <w:rFonts w:ascii="Arial" w:hAnsi="Arial" w:hint="default"/>
        <w:sz w:val="2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4FFF3C8A"/>
    <w:multiLevelType w:val="hybridMultilevel"/>
    <w:tmpl w:val="7D00E0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420265D"/>
    <w:multiLevelType w:val="hybridMultilevel"/>
    <w:tmpl w:val="F8463A1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93642A1"/>
    <w:multiLevelType w:val="hybridMultilevel"/>
    <w:tmpl w:val="DF66CA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94B5263"/>
    <w:multiLevelType w:val="hybridMultilevel"/>
    <w:tmpl w:val="B614A7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FB56B2B"/>
    <w:multiLevelType w:val="hybridMultilevel"/>
    <w:tmpl w:val="16F06B22"/>
    <w:lvl w:ilvl="0" w:tplc="E2F0C8A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6" w15:restartNumberingAfterBreak="0">
    <w:nsid w:val="6408463D"/>
    <w:multiLevelType w:val="hybridMultilevel"/>
    <w:tmpl w:val="ACF0DFE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15:restartNumberingAfterBreak="0">
    <w:nsid w:val="66CA1AE0"/>
    <w:multiLevelType w:val="hybridMultilevel"/>
    <w:tmpl w:val="75B2A1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AF2073C"/>
    <w:multiLevelType w:val="hybridMultilevel"/>
    <w:tmpl w:val="94FC17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F2E14E1"/>
    <w:multiLevelType w:val="hybridMultilevel"/>
    <w:tmpl w:val="3A5062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0146DC0"/>
    <w:multiLevelType w:val="hybridMultilevel"/>
    <w:tmpl w:val="9BC21240"/>
    <w:lvl w:ilvl="0" w:tplc="409A9E3A">
      <w:start w:val="1"/>
      <w:numFmt w:val="bullet"/>
      <w:pStyle w:val="Agreement"/>
      <w:lvlText w:val=""/>
      <w:lvlJc w:val="left"/>
      <w:pPr>
        <w:tabs>
          <w:tab w:val="num" w:pos="-177"/>
        </w:tabs>
        <w:ind w:left="-177" w:hanging="360"/>
      </w:pPr>
      <w:rPr>
        <w:rFonts w:ascii="Symbol" w:hAnsi="Symbol" w:hint="default"/>
        <w:b/>
        <w:i w:val="0"/>
        <w:color w:val="auto"/>
        <w:sz w:val="22"/>
      </w:rPr>
    </w:lvl>
    <w:lvl w:ilvl="1" w:tplc="04090003">
      <w:start w:val="1"/>
      <w:numFmt w:val="bullet"/>
      <w:lvlText w:val="o"/>
      <w:lvlJc w:val="left"/>
      <w:pPr>
        <w:tabs>
          <w:tab w:val="num" w:pos="-177"/>
        </w:tabs>
        <w:ind w:left="-177" w:hanging="360"/>
      </w:pPr>
      <w:rPr>
        <w:rFonts w:ascii="Courier New" w:hAnsi="Courier New" w:cs="Courier New" w:hint="default"/>
      </w:rPr>
    </w:lvl>
    <w:lvl w:ilvl="2" w:tplc="04090005" w:tentative="1">
      <w:start w:val="1"/>
      <w:numFmt w:val="bullet"/>
      <w:lvlText w:val=""/>
      <w:lvlJc w:val="left"/>
      <w:pPr>
        <w:tabs>
          <w:tab w:val="num" w:pos="543"/>
        </w:tabs>
        <w:ind w:left="543" w:hanging="360"/>
      </w:pPr>
      <w:rPr>
        <w:rFonts w:ascii="Wingdings" w:hAnsi="Wingdings" w:hint="default"/>
      </w:rPr>
    </w:lvl>
    <w:lvl w:ilvl="3" w:tplc="04090001" w:tentative="1">
      <w:start w:val="1"/>
      <w:numFmt w:val="bullet"/>
      <w:lvlText w:val=""/>
      <w:lvlJc w:val="left"/>
      <w:pPr>
        <w:tabs>
          <w:tab w:val="num" w:pos="1263"/>
        </w:tabs>
        <w:ind w:left="1263" w:hanging="360"/>
      </w:pPr>
      <w:rPr>
        <w:rFonts w:ascii="Symbol" w:hAnsi="Symbol" w:hint="default"/>
      </w:rPr>
    </w:lvl>
    <w:lvl w:ilvl="4" w:tplc="04090003" w:tentative="1">
      <w:start w:val="1"/>
      <w:numFmt w:val="bullet"/>
      <w:lvlText w:val="o"/>
      <w:lvlJc w:val="left"/>
      <w:pPr>
        <w:tabs>
          <w:tab w:val="num" w:pos="1983"/>
        </w:tabs>
        <w:ind w:left="1983" w:hanging="360"/>
      </w:pPr>
      <w:rPr>
        <w:rFonts w:ascii="Courier New" w:hAnsi="Courier New" w:cs="Courier New" w:hint="default"/>
      </w:rPr>
    </w:lvl>
    <w:lvl w:ilvl="5" w:tplc="04090005" w:tentative="1">
      <w:start w:val="1"/>
      <w:numFmt w:val="bullet"/>
      <w:lvlText w:val=""/>
      <w:lvlJc w:val="left"/>
      <w:pPr>
        <w:tabs>
          <w:tab w:val="num" w:pos="2703"/>
        </w:tabs>
        <w:ind w:left="2703" w:hanging="360"/>
      </w:pPr>
      <w:rPr>
        <w:rFonts w:ascii="Wingdings" w:hAnsi="Wingdings" w:hint="default"/>
      </w:rPr>
    </w:lvl>
    <w:lvl w:ilvl="6" w:tplc="04090001" w:tentative="1">
      <w:start w:val="1"/>
      <w:numFmt w:val="bullet"/>
      <w:lvlText w:val=""/>
      <w:lvlJc w:val="left"/>
      <w:pPr>
        <w:tabs>
          <w:tab w:val="num" w:pos="3423"/>
        </w:tabs>
        <w:ind w:left="3423" w:hanging="360"/>
      </w:pPr>
      <w:rPr>
        <w:rFonts w:ascii="Symbol" w:hAnsi="Symbol" w:hint="default"/>
      </w:rPr>
    </w:lvl>
    <w:lvl w:ilvl="7" w:tplc="04090003" w:tentative="1">
      <w:start w:val="1"/>
      <w:numFmt w:val="bullet"/>
      <w:lvlText w:val="o"/>
      <w:lvlJc w:val="left"/>
      <w:pPr>
        <w:tabs>
          <w:tab w:val="num" w:pos="4143"/>
        </w:tabs>
        <w:ind w:left="4143" w:hanging="360"/>
      </w:pPr>
      <w:rPr>
        <w:rFonts w:ascii="Courier New" w:hAnsi="Courier New" w:cs="Courier New" w:hint="default"/>
      </w:rPr>
    </w:lvl>
    <w:lvl w:ilvl="8" w:tplc="04090005" w:tentative="1">
      <w:start w:val="1"/>
      <w:numFmt w:val="bullet"/>
      <w:lvlText w:val=""/>
      <w:lvlJc w:val="left"/>
      <w:pPr>
        <w:tabs>
          <w:tab w:val="num" w:pos="4863"/>
        </w:tabs>
        <w:ind w:left="4863" w:hanging="360"/>
      </w:pPr>
      <w:rPr>
        <w:rFonts w:ascii="Wingdings" w:hAnsi="Wingdings" w:hint="default"/>
      </w:rPr>
    </w:lvl>
  </w:abstractNum>
  <w:abstractNum w:abstractNumId="41" w15:restartNumberingAfterBreak="0">
    <w:nsid w:val="780233E1"/>
    <w:multiLevelType w:val="hybridMultilevel"/>
    <w:tmpl w:val="D19015EC"/>
    <w:lvl w:ilvl="0" w:tplc="2F6ED51A">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82919AD"/>
    <w:multiLevelType w:val="hybridMultilevel"/>
    <w:tmpl w:val="891EED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C331FA"/>
    <w:multiLevelType w:val="hybridMultilevel"/>
    <w:tmpl w:val="17543E2A"/>
    <w:lvl w:ilvl="0" w:tplc="FA1EF84E">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44" w15:restartNumberingAfterBreak="0">
    <w:nsid w:val="7A83462A"/>
    <w:multiLevelType w:val="hybridMultilevel"/>
    <w:tmpl w:val="D30E7B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E0C5A7A"/>
    <w:multiLevelType w:val="hybridMultilevel"/>
    <w:tmpl w:val="F2AEC5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FF07718"/>
    <w:multiLevelType w:val="hybridMultilevel"/>
    <w:tmpl w:val="5008DC90"/>
    <w:lvl w:ilvl="0" w:tplc="495235C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40"/>
  </w:num>
  <w:num w:numId="3">
    <w:abstractNumId w:val="16"/>
  </w:num>
  <w:num w:numId="4">
    <w:abstractNumId w:val="18"/>
  </w:num>
  <w:num w:numId="5">
    <w:abstractNumId w:val="12"/>
  </w:num>
  <w:num w:numId="6">
    <w:abstractNumId w:val="24"/>
  </w:num>
  <w:num w:numId="7">
    <w:abstractNumId w:val="26"/>
  </w:num>
  <w:num w:numId="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46"/>
  </w:num>
  <w:num w:numId="10">
    <w:abstractNumId w:val="28"/>
  </w:num>
  <w:num w:numId="11">
    <w:abstractNumId w:val="30"/>
  </w:num>
  <w:num w:numId="12">
    <w:abstractNumId w:val="34"/>
  </w:num>
  <w:num w:numId="13">
    <w:abstractNumId w:val="22"/>
  </w:num>
  <w:num w:numId="14">
    <w:abstractNumId w:val="20"/>
  </w:num>
  <w:num w:numId="15">
    <w:abstractNumId w:val="39"/>
  </w:num>
  <w:num w:numId="16">
    <w:abstractNumId w:val="9"/>
  </w:num>
  <w:num w:numId="17">
    <w:abstractNumId w:val="29"/>
  </w:num>
  <w:num w:numId="18">
    <w:abstractNumId w:val="17"/>
  </w:num>
  <w:num w:numId="19">
    <w:abstractNumId w:val="37"/>
  </w:num>
  <w:num w:numId="20">
    <w:abstractNumId w:val="4"/>
  </w:num>
  <w:num w:numId="21">
    <w:abstractNumId w:val="31"/>
  </w:num>
  <w:num w:numId="22">
    <w:abstractNumId w:val="5"/>
  </w:num>
  <w:num w:numId="23">
    <w:abstractNumId w:val="3"/>
  </w:num>
  <w:num w:numId="24">
    <w:abstractNumId w:val="21"/>
  </w:num>
  <w:num w:numId="25">
    <w:abstractNumId w:val="25"/>
  </w:num>
  <w:num w:numId="26">
    <w:abstractNumId w:val="43"/>
  </w:num>
  <w:num w:numId="27">
    <w:abstractNumId w:val="8"/>
  </w:num>
  <w:num w:numId="28">
    <w:abstractNumId w:val="42"/>
  </w:num>
  <w:num w:numId="29">
    <w:abstractNumId w:val="15"/>
  </w:num>
  <w:num w:numId="30">
    <w:abstractNumId w:val="27"/>
  </w:num>
  <w:num w:numId="31">
    <w:abstractNumId w:val="19"/>
  </w:num>
  <w:num w:numId="32">
    <w:abstractNumId w:val="35"/>
  </w:num>
  <w:num w:numId="33">
    <w:abstractNumId w:val="13"/>
  </w:num>
  <w:num w:numId="34">
    <w:abstractNumId w:val="45"/>
  </w:num>
  <w:num w:numId="35">
    <w:abstractNumId w:val="10"/>
  </w:num>
  <w:num w:numId="36">
    <w:abstractNumId w:val="7"/>
  </w:num>
  <w:num w:numId="37">
    <w:abstractNumId w:val="38"/>
  </w:num>
  <w:num w:numId="38">
    <w:abstractNumId w:val="44"/>
  </w:num>
  <w:num w:numId="39">
    <w:abstractNumId w:val="2"/>
  </w:num>
  <w:num w:numId="40">
    <w:abstractNumId w:val="36"/>
  </w:num>
  <w:num w:numId="41">
    <w:abstractNumId w:val="11"/>
  </w:num>
  <w:num w:numId="42">
    <w:abstractNumId w:val="23"/>
  </w:num>
  <w:num w:numId="43">
    <w:abstractNumId w:val="6"/>
  </w:num>
  <w:num w:numId="44">
    <w:abstractNumId w:val="41"/>
  </w:num>
  <w:num w:numId="45">
    <w:abstractNumId w:val="14"/>
  </w:num>
  <w:num w:numId="46">
    <w:abstractNumId w:val="32"/>
  </w:num>
  <w:num w:numId="47">
    <w:abstractNumId w:val="3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408E"/>
    <w:rsid w:val="00002B77"/>
    <w:rsid w:val="00004A9A"/>
    <w:rsid w:val="00006514"/>
    <w:rsid w:val="00006836"/>
    <w:rsid w:val="00007A4E"/>
    <w:rsid w:val="00007B50"/>
    <w:rsid w:val="0001019E"/>
    <w:rsid w:val="00010E6C"/>
    <w:rsid w:val="00011656"/>
    <w:rsid w:val="00011C9D"/>
    <w:rsid w:val="00011F31"/>
    <w:rsid w:val="0001248E"/>
    <w:rsid w:val="000138BB"/>
    <w:rsid w:val="00013EC0"/>
    <w:rsid w:val="00013F79"/>
    <w:rsid w:val="00014683"/>
    <w:rsid w:val="00014F07"/>
    <w:rsid w:val="00017D0F"/>
    <w:rsid w:val="00020058"/>
    <w:rsid w:val="00020447"/>
    <w:rsid w:val="00022303"/>
    <w:rsid w:val="0002363D"/>
    <w:rsid w:val="000242C3"/>
    <w:rsid w:val="000254EE"/>
    <w:rsid w:val="00025B34"/>
    <w:rsid w:val="00027046"/>
    <w:rsid w:val="00027EB8"/>
    <w:rsid w:val="000306E9"/>
    <w:rsid w:val="000307C2"/>
    <w:rsid w:val="00031806"/>
    <w:rsid w:val="000345AE"/>
    <w:rsid w:val="00034673"/>
    <w:rsid w:val="0003591B"/>
    <w:rsid w:val="00036061"/>
    <w:rsid w:val="00040214"/>
    <w:rsid w:val="000404AE"/>
    <w:rsid w:val="00040B49"/>
    <w:rsid w:val="000412EE"/>
    <w:rsid w:val="0004176B"/>
    <w:rsid w:val="00042583"/>
    <w:rsid w:val="00042B34"/>
    <w:rsid w:val="000442C6"/>
    <w:rsid w:val="00045272"/>
    <w:rsid w:val="00045316"/>
    <w:rsid w:val="000475B1"/>
    <w:rsid w:val="0005007C"/>
    <w:rsid w:val="00051E2A"/>
    <w:rsid w:val="00052D89"/>
    <w:rsid w:val="00053FCB"/>
    <w:rsid w:val="000548E6"/>
    <w:rsid w:val="00055571"/>
    <w:rsid w:val="00056086"/>
    <w:rsid w:val="00056DFB"/>
    <w:rsid w:val="00056F02"/>
    <w:rsid w:val="00057244"/>
    <w:rsid w:val="00062FCD"/>
    <w:rsid w:val="00065367"/>
    <w:rsid w:val="000665E3"/>
    <w:rsid w:val="00070F6D"/>
    <w:rsid w:val="00071A37"/>
    <w:rsid w:val="00071FCC"/>
    <w:rsid w:val="0007366D"/>
    <w:rsid w:val="00073B0C"/>
    <w:rsid w:val="00073BD0"/>
    <w:rsid w:val="00074EA6"/>
    <w:rsid w:val="00075778"/>
    <w:rsid w:val="00075861"/>
    <w:rsid w:val="00081940"/>
    <w:rsid w:val="00082839"/>
    <w:rsid w:val="00083613"/>
    <w:rsid w:val="00083723"/>
    <w:rsid w:val="00085DEE"/>
    <w:rsid w:val="00087FDA"/>
    <w:rsid w:val="000950C4"/>
    <w:rsid w:val="0009659E"/>
    <w:rsid w:val="0009689E"/>
    <w:rsid w:val="00096D24"/>
    <w:rsid w:val="000A0227"/>
    <w:rsid w:val="000A031E"/>
    <w:rsid w:val="000A0359"/>
    <w:rsid w:val="000A083F"/>
    <w:rsid w:val="000A1916"/>
    <w:rsid w:val="000A26FE"/>
    <w:rsid w:val="000A3D4A"/>
    <w:rsid w:val="000A40AB"/>
    <w:rsid w:val="000A4413"/>
    <w:rsid w:val="000A521C"/>
    <w:rsid w:val="000B0C9D"/>
    <w:rsid w:val="000B332B"/>
    <w:rsid w:val="000B3363"/>
    <w:rsid w:val="000B4EA8"/>
    <w:rsid w:val="000B5A63"/>
    <w:rsid w:val="000C0936"/>
    <w:rsid w:val="000C1116"/>
    <w:rsid w:val="000C2175"/>
    <w:rsid w:val="000C3F75"/>
    <w:rsid w:val="000C49E1"/>
    <w:rsid w:val="000C580A"/>
    <w:rsid w:val="000C5C28"/>
    <w:rsid w:val="000C5CE7"/>
    <w:rsid w:val="000C5F64"/>
    <w:rsid w:val="000C64D5"/>
    <w:rsid w:val="000C7A92"/>
    <w:rsid w:val="000C7F76"/>
    <w:rsid w:val="000D0004"/>
    <w:rsid w:val="000D1FFD"/>
    <w:rsid w:val="000D2AA1"/>
    <w:rsid w:val="000D3AF4"/>
    <w:rsid w:val="000D3BE9"/>
    <w:rsid w:val="000D54B6"/>
    <w:rsid w:val="000D6317"/>
    <w:rsid w:val="000D6428"/>
    <w:rsid w:val="000E3D54"/>
    <w:rsid w:val="000E784F"/>
    <w:rsid w:val="000E7ECC"/>
    <w:rsid w:val="000F0C9B"/>
    <w:rsid w:val="000F3B7C"/>
    <w:rsid w:val="000F3F33"/>
    <w:rsid w:val="000F4170"/>
    <w:rsid w:val="000F42B1"/>
    <w:rsid w:val="000F499D"/>
    <w:rsid w:val="000F6816"/>
    <w:rsid w:val="00100B7F"/>
    <w:rsid w:val="00101F47"/>
    <w:rsid w:val="00101FF6"/>
    <w:rsid w:val="00102F29"/>
    <w:rsid w:val="001033E8"/>
    <w:rsid w:val="00103A4E"/>
    <w:rsid w:val="00105E7C"/>
    <w:rsid w:val="00106E84"/>
    <w:rsid w:val="00110CDE"/>
    <w:rsid w:val="001125CD"/>
    <w:rsid w:val="0011418A"/>
    <w:rsid w:val="00114451"/>
    <w:rsid w:val="00114B54"/>
    <w:rsid w:val="00114F66"/>
    <w:rsid w:val="00116091"/>
    <w:rsid w:val="00116392"/>
    <w:rsid w:val="00116AEE"/>
    <w:rsid w:val="00117FCF"/>
    <w:rsid w:val="001200C3"/>
    <w:rsid w:val="001207BF"/>
    <w:rsid w:val="0012170A"/>
    <w:rsid w:val="00122FA9"/>
    <w:rsid w:val="00123A73"/>
    <w:rsid w:val="00126EAE"/>
    <w:rsid w:val="0013003E"/>
    <w:rsid w:val="00130452"/>
    <w:rsid w:val="00130572"/>
    <w:rsid w:val="00131BAF"/>
    <w:rsid w:val="00133F22"/>
    <w:rsid w:val="00135545"/>
    <w:rsid w:val="001365AD"/>
    <w:rsid w:val="00136932"/>
    <w:rsid w:val="00136C34"/>
    <w:rsid w:val="00137626"/>
    <w:rsid w:val="00137E5B"/>
    <w:rsid w:val="001409B5"/>
    <w:rsid w:val="0014166E"/>
    <w:rsid w:val="00141A3E"/>
    <w:rsid w:val="0014299B"/>
    <w:rsid w:val="001437C4"/>
    <w:rsid w:val="00143F88"/>
    <w:rsid w:val="00144189"/>
    <w:rsid w:val="001448CA"/>
    <w:rsid w:val="001456F9"/>
    <w:rsid w:val="00146E0E"/>
    <w:rsid w:val="00147A64"/>
    <w:rsid w:val="00147B2C"/>
    <w:rsid w:val="00150899"/>
    <w:rsid w:val="00150907"/>
    <w:rsid w:val="00152C3B"/>
    <w:rsid w:val="00153F2A"/>
    <w:rsid w:val="001540A9"/>
    <w:rsid w:val="00155F66"/>
    <w:rsid w:val="0016085E"/>
    <w:rsid w:val="00160E41"/>
    <w:rsid w:val="00161D21"/>
    <w:rsid w:val="00162B9B"/>
    <w:rsid w:val="00163F50"/>
    <w:rsid w:val="001642ED"/>
    <w:rsid w:val="00166C94"/>
    <w:rsid w:val="001708D3"/>
    <w:rsid w:val="00170B50"/>
    <w:rsid w:val="00170C0E"/>
    <w:rsid w:val="0017118B"/>
    <w:rsid w:val="001727E1"/>
    <w:rsid w:val="001736F6"/>
    <w:rsid w:val="00173732"/>
    <w:rsid w:val="001740A2"/>
    <w:rsid w:val="00174AFB"/>
    <w:rsid w:val="0017542E"/>
    <w:rsid w:val="0017594E"/>
    <w:rsid w:val="00175C3D"/>
    <w:rsid w:val="00181CB1"/>
    <w:rsid w:val="00183824"/>
    <w:rsid w:val="00183C01"/>
    <w:rsid w:val="00186DF9"/>
    <w:rsid w:val="00190191"/>
    <w:rsid w:val="00190285"/>
    <w:rsid w:val="00192E61"/>
    <w:rsid w:val="00193035"/>
    <w:rsid w:val="001940E9"/>
    <w:rsid w:val="00196902"/>
    <w:rsid w:val="0019742A"/>
    <w:rsid w:val="00197550"/>
    <w:rsid w:val="001975BE"/>
    <w:rsid w:val="00197633"/>
    <w:rsid w:val="001A04CE"/>
    <w:rsid w:val="001A0B7E"/>
    <w:rsid w:val="001A0D55"/>
    <w:rsid w:val="001A111F"/>
    <w:rsid w:val="001A173E"/>
    <w:rsid w:val="001A1AD6"/>
    <w:rsid w:val="001A460C"/>
    <w:rsid w:val="001A50C3"/>
    <w:rsid w:val="001A5B22"/>
    <w:rsid w:val="001A5C16"/>
    <w:rsid w:val="001A762C"/>
    <w:rsid w:val="001A7937"/>
    <w:rsid w:val="001B0F53"/>
    <w:rsid w:val="001B268A"/>
    <w:rsid w:val="001B4B48"/>
    <w:rsid w:val="001B4F6C"/>
    <w:rsid w:val="001B5BCB"/>
    <w:rsid w:val="001B5E97"/>
    <w:rsid w:val="001B6915"/>
    <w:rsid w:val="001B7430"/>
    <w:rsid w:val="001B7AE9"/>
    <w:rsid w:val="001B7BBD"/>
    <w:rsid w:val="001B7C2C"/>
    <w:rsid w:val="001C0CDC"/>
    <w:rsid w:val="001C175C"/>
    <w:rsid w:val="001C430C"/>
    <w:rsid w:val="001C45FD"/>
    <w:rsid w:val="001C470E"/>
    <w:rsid w:val="001C54EE"/>
    <w:rsid w:val="001C7509"/>
    <w:rsid w:val="001C7C1C"/>
    <w:rsid w:val="001D0B20"/>
    <w:rsid w:val="001D0C55"/>
    <w:rsid w:val="001D150C"/>
    <w:rsid w:val="001D1BDF"/>
    <w:rsid w:val="001D28F2"/>
    <w:rsid w:val="001D4429"/>
    <w:rsid w:val="001D5E25"/>
    <w:rsid w:val="001D762D"/>
    <w:rsid w:val="001E01B3"/>
    <w:rsid w:val="001E0A09"/>
    <w:rsid w:val="001E1A47"/>
    <w:rsid w:val="001E59E9"/>
    <w:rsid w:val="001E605F"/>
    <w:rsid w:val="001E65A8"/>
    <w:rsid w:val="001E6778"/>
    <w:rsid w:val="001F0640"/>
    <w:rsid w:val="001F200D"/>
    <w:rsid w:val="001F2237"/>
    <w:rsid w:val="001F24E2"/>
    <w:rsid w:val="001F3205"/>
    <w:rsid w:val="001F3F17"/>
    <w:rsid w:val="001F419D"/>
    <w:rsid w:val="002007D8"/>
    <w:rsid w:val="0020188F"/>
    <w:rsid w:val="00201EE0"/>
    <w:rsid w:val="00202BE7"/>
    <w:rsid w:val="002049B5"/>
    <w:rsid w:val="00205076"/>
    <w:rsid w:val="002059D3"/>
    <w:rsid w:val="002069B1"/>
    <w:rsid w:val="00207DCB"/>
    <w:rsid w:val="00210D8D"/>
    <w:rsid w:val="00211AFF"/>
    <w:rsid w:val="00212A8E"/>
    <w:rsid w:val="00212DC9"/>
    <w:rsid w:val="00215398"/>
    <w:rsid w:val="00215585"/>
    <w:rsid w:val="002163A1"/>
    <w:rsid w:val="0021683D"/>
    <w:rsid w:val="00217350"/>
    <w:rsid w:val="00217C3A"/>
    <w:rsid w:val="002213B5"/>
    <w:rsid w:val="00222ACD"/>
    <w:rsid w:val="00223697"/>
    <w:rsid w:val="00223E2A"/>
    <w:rsid w:val="002254A1"/>
    <w:rsid w:val="00226207"/>
    <w:rsid w:val="002271FF"/>
    <w:rsid w:val="0023064E"/>
    <w:rsid w:val="00231B1F"/>
    <w:rsid w:val="00231F18"/>
    <w:rsid w:val="00235AD0"/>
    <w:rsid w:val="00237024"/>
    <w:rsid w:val="0023732C"/>
    <w:rsid w:val="00240B8C"/>
    <w:rsid w:val="002417CC"/>
    <w:rsid w:val="002420F9"/>
    <w:rsid w:val="002436D3"/>
    <w:rsid w:val="00243802"/>
    <w:rsid w:val="0024415E"/>
    <w:rsid w:val="00245F10"/>
    <w:rsid w:val="0024620B"/>
    <w:rsid w:val="0024697E"/>
    <w:rsid w:val="00246EFA"/>
    <w:rsid w:val="002525E6"/>
    <w:rsid w:val="00253FF7"/>
    <w:rsid w:val="00254079"/>
    <w:rsid w:val="002579C0"/>
    <w:rsid w:val="0026099E"/>
    <w:rsid w:val="00264BD1"/>
    <w:rsid w:val="00266B0F"/>
    <w:rsid w:val="002676A8"/>
    <w:rsid w:val="00267FBD"/>
    <w:rsid w:val="002703B9"/>
    <w:rsid w:val="002705F8"/>
    <w:rsid w:val="00270DDD"/>
    <w:rsid w:val="00272FD2"/>
    <w:rsid w:val="0027426C"/>
    <w:rsid w:val="00274B7A"/>
    <w:rsid w:val="002763F7"/>
    <w:rsid w:val="00277B93"/>
    <w:rsid w:val="00277DCC"/>
    <w:rsid w:val="0028045E"/>
    <w:rsid w:val="002831B9"/>
    <w:rsid w:val="00286295"/>
    <w:rsid w:val="00286356"/>
    <w:rsid w:val="00286D83"/>
    <w:rsid w:val="00287735"/>
    <w:rsid w:val="00287A26"/>
    <w:rsid w:val="00291158"/>
    <w:rsid w:val="00292671"/>
    <w:rsid w:val="002926E8"/>
    <w:rsid w:val="00293883"/>
    <w:rsid w:val="00293890"/>
    <w:rsid w:val="00293B0F"/>
    <w:rsid w:val="00294A3F"/>
    <w:rsid w:val="00295983"/>
    <w:rsid w:val="002973E9"/>
    <w:rsid w:val="002A16C1"/>
    <w:rsid w:val="002A21CD"/>
    <w:rsid w:val="002A2E34"/>
    <w:rsid w:val="002A39B2"/>
    <w:rsid w:val="002A4A16"/>
    <w:rsid w:val="002A51D8"/>
    <w:rsid w:val="002A76A5"/>
    <w:rsid w:val="002A7DF7"/>
    <w:rsid w:val="002B0515"/>
    <w:rsid w:val="002B0FB7"/>
    <w:rsid w:val="002B15B0"/>
    <w:rsid w:val="002B2AA5"/>
    <w:rsid w:val="002B38C7"/>
    <w:rsid w:val="002B63BA"/>
    <w:rsid w:val="002B6F18"/>
    <w:rsid w:val="002B76BB"/>
    <w:rsid w:val="002C1CF1"/>
    <w:rsid w:val="002C33FD"/>
    <w:rsid w:val="002C546F"/>
    <w:rsid w:val="002C5B8E"/>
    <w:rsid w:val="002C6633"/>
    <w:rsid w:val="002D03AF"/>
    <w:rsid w:val="002D0BC0"/>
    <w:rsid w:val="002D1D0F"/>
    <w:rsid w:val="002D1F98"/>
    <w:rsid w:val="002D2024"/>
    <w:rsid w:val="002D26C1"/>
    <w:rsid w:val="002D2E94"/>
    <w:rsid w:val="002D37FC"/>
    <w:rsid w:val="002D78B3"/>
    <w:rsid w:val="002E0B94"/>
    <w:rsid w:val="002E1F27"/>
    <w:rsid w:val="002E2BEB"/>
    <w:rsid w:val="002E313F"/>
    <w:rsid w:val="002E34AC"/>
    <w:rsid w:val="002E3C21"/>
    <w:rsid w:val="002E4BC8"/>
    <w:rsid w:val="002E5A25"/>
    <w:rsid w:val="002E65CB"/>
    <w:rsid w:val="002E686C"/>
    <w:rsid w:val="002E6C32"/>
    <w:rsid w:val="002E78BE"/>
    <w:rsid w:val="002F1101"/>
    <w:rsid w:val="002F1414"/>
    <w:rsid w:val="002F2F99"/>
    <w:rsid w:val="002F3ACA"/>
    <w:rsid w:val="002F3E6F"/>
    <w:rsid w:val="002F433F"/>
    <w:rsid w:val="002F470A"/>
    <w:rsid w:val="002F74A8"/>
    <w:rsid w:val="00300ADC"/>
    <w:rsid w:val="00303028"/>
    <w:rsid w:val="00303420"/>
    <w:rsid w:val="0030648E"/>
    <w:rsid w:val="00306D6F"/>
    <w:rsid w:val="00307BA4"/>
    <w:rsid w:val="00307E68"/>
    <w:rsid w:val="00310243"/>
    <w:rsid w:val="003113E7"/>
    <w:rsid w:val="00311810"/>
    <w:rsid w:val="00312695"/>
    <w:rsid w:val="00313281"/>
    <w:rsid w:val="00313337"/>
    <w:rsid w:val="003138D4"/>
    <w:rsid w:val="00313E6C"/>
    <w:rsid w:val="00314CD6"/>
    <w:rsid w:val="00315801"/>
    <w:rsid w:val="0031695B"/>
    <w:rsid w:val="00317363"/>
    <w:rsid w:val="00320C31"/>
    <w:rsid w:val="003218B9"/>
    <w:rsid w:val="00321FCC"/>
    <w:rsid w:val="0032335A"/>
    <w:rsid w:val="003239C9"/>
    <w:rsid w:val="00326028"/>
    <w:rsid w:val="00326A31"/>
    <w:rsid w:val="00326F62"/>
    <w:rsid w:val="00327280"/>
    <w:rsid w:val="00327701"/>
    <w:rsid w:val="003303ED"/>
    <w:rsid w:val="003309A5"/>
    <w:rsid w:val="0033166C"/>
    <w:rsid w:val="00331C69"/>
    <w:rsid w:val="00332391"/>
    <w:rsid w:val="003326DA"/>
    <w:rsid w:val="0033314C"/>
    <w:rsid w:val="0033358D"/>
    <w:rsid w:val="00335A1D"/>
    <w:rsid w:val="00335C13"/>
    <w:rsid w:val="003361E7"/>
    <w:rsid w:val="00336AE5"/>
    <w:rsid w:val="00337999"/>
    <w:rsid w:val="00337BF0"/>
    <w:rsid w:val="003403EE"/>
    <w:rsid w:val="00341624"/>
    <w:rsid w:val="0034187C"/>
    <w:rsid w:val="00341FA0"/>
    <w:rsid w:val="00346B67"/>
    <w:rsid w:val="003470D4"/>
    <w:rsid w:val="003511CF"/>
    <w:rsid w:val="00351E73"/>
    <w:rsid w:val="0035288F"/>
    <w:rsid w:val="003531F5"/>
    <w:rsid w:val="0035598E"/>
    <w:rsid w:val="00360A53"/>
    <w:rsid w:val="00361021"/>
    <w:rsid w:val="003621D6"/>
    <w:rsid w:val="00363E7C"/>
    <w:rsid w:val="00370680"/>
    <w:rsid w:val="00370748"/>
    <w:rsid w:val="0037269E"/>
    <w:rsid w:val="0037360B"/>
    <w:rsid w:val="00373C0E"/>
    <w:rsid w:val="00373EAC"/>
    <w:rsid w:val="003747BD"/>
    <w:rsid w:val="00375093"/>
    <w:rsid w:val="00375526"/>
    <w:rsid w:val="0037612A"/>
    <w:rsid w:val="00376513"/>
    <w:rsid w:val="00377670"/>
    <w:rsid w:val="003811D4"/>
    <w:rsid w:val="00381BFE"/>
    <w:rsid w:val="00383C03"/>
    <w:rsid w:val="00383DAD"/>
    <w:rsid w:val="003841AC"/>
    <w:rsid w:val="00392172"/>
    <w:rsid w:val="00392504"/>
    <w:rsid w:val="00393453"/>
    <w:rsid w:val="00393F7F"/>
    <w:rsid w:val="0039454C"/>
    <w:rsid w:val="00396BEC"/>
    <w:rsid w:val="00396D1F"/>
    <w:rsid w:val="003973B0"/>
    <w:rsid w:val="00397EB5"/>
    <w:rsid w:val="003A055B"/>
    <w:rsid w:val="003A0A40"/>
    <w:rsid w:val="003A221E"/>
    <w:rsid w:val="003A63F9"/>
    <w:rsid w:val="003A71FF"/>
    <w:rsid w:val="003B0A25"/>
    <w:rsid w:val="003B767B"/>
    <w:rsid w:val="003C0205"/>
    <w:rsid w:val="003C03D3"/>
    <w:rsid w:val="003C0992"/>
    <w:rsid w:val="003C0C71"/>
    <w:rsid w:val="003C1678"/>
    <w:rsid w:val="003C1FCA"/>
    <w:rsid w:val="003C2A72"/>
    <w:rsid w:val="003C495A"/>
    <w:rsid w:val="003C4A5A"/>
    <w:rsid w:val="003C513C"/>
    <w:rsid w:val="003C7032"/>
    <w:rsid w:val="003C7BF7"/>
    <w:rsid w:val="003D0039"/>
    <w:rsid w:val="003D175E"/>
    <w:rsid w:val="003D1B4A"/>
    <w:rsid w:val="003D1D69"/>
    <w:rsid w:val="003D61CB"/>
    <w:rsid w:val="003D7074"/>
    <w:rsid w:val="003E051B"/>
    <w:rsid w:val="003E0623"/>
    <w:rsid w:val="003E074D"/>
    <w:rsid w:val="003E13CC"/>
    <w:rsid w:val="003E23EB"/>
    <w:rsid w:val="003E2D87"/>
    <w:rsid w:val="003E4AF5"/>
    <w:rsid w:val="003E61FD"/>
    <w:rsid w:val="003E6BA7"/>
    <w:rsid w:val="003E6C2E"/>
    <w:rsid w:val="003E795C"/>
    <w:rsid w:val="003F0559"/>
    <w:rsid w:val="003F1E73"/>
    <w:rsid w:val="003F22B4"/>
    <w:rsid w:val="003F49D6"/>
    <w:rsid w:val="003F59ED"/>
    <w:rsid w:val="003F6D73"/>
    <w:rsid w:val="0040040F"/>
    <w:rsid w:val="004013E8"/>
    <w:rsid w:val="00401AAE"/>
    <w:rsid w:val="00401B83"/>
    <w:rsid w:val="004020FD"/>
    <w:rsid w:val="004025F4"/>
    <w:rsid w:val="00402770"/>
    <w:rsid w:val="004068EC"/>
    <w:rsid w:val="0041064E"/>
    <w:rsid w:val="00411CFF"/>
    <w:rsid w:val="00411DAF"/>
    <w:rsid w:val="004132A1"/>
    <w:rsid w:val="004133FB"/>
    <w:rsid w:val="004144DD"/>
    <w:rsid w:val="004150E9"/>
    <w:rsid w:val="00415CB4"/>
    <w:rsid w:val="0041633F"/>
    <w:rsid w:val="00416382"/>
    <w:rsid w:val="00417195"/>
    <w:rsid w:val="00417A8D"/>
    <w:rsid w:val="00420EE1"/>
    <w:rsid w:val="004212EB"/>
    <w:rsid w:val="004218DA"/>
    <w:rsid w:val="00421E51"/>
    <w:rsid w:val="00421F64"/>
    <w:rsid w:val="004228C3"/>
    <w:rsid w:val="00422E4E"/>
    <w:rsid w:val="004230E9"/>
    <w:rsid w:val="0042324C"/>
    <w:rsid w:val="004241E4"/>
    <w:rsid w:val="00424488"/>
    <w:rsid w:val="00425D4D"/>
    <w:rsid w:val="00426925"/>
    <w:rsid w:val="00427D15"/>
    <w:rsid w:val="004301C1"/>
    <w:rsid w:val="00431D67"/>
    <w:rsid w:val="004328F9"/>
    <w:rsid w:val="0043338D"/>
    <w:rsid w:val="00434154"/>
    <w:rsid w:val="00434E37"/>
    <w:rsid w:val="00435D57"/>
    <w:rsid w:val="00436BF1"/>
    <w:rsid w:val="00443A5C"/>
    <w:rsid w:val="00443F0A"/>
    <w:rsid w:val="00443F6A"/>
    <w:rsid w:val="004448DB"/>
    <w:rsid w:val="00445453"/>
    <w:rsid w:val="00447249"/>
    <w:rsid w:val="00452278"/>
    <w:rsid w:val="0045304D"/>
    <w:rsid w:val="0045514F"/>
    <w:rsid w:val="004566BB"/>
    <w:rsid w:val="00456BD3"/>
    <w:rsid w:val="00456D73"/>
    <w:rsid w:val="004605AD"/>
    <w:rsid w:val="0046191E"/>
    <w:rsid w:val="0046308F"/>
    <w:rsid w:val="0046313D"/>
    <w:rsid w:val="00463F9F"/>
    <w:rsid w:val="004649A5"/>
    <w:rsid w:val="00465A5E"/>
    <w:rsid w:val="00466480"/>
    <w:rsid w:val="004704D8"/>
    <w:rsid w:val="00472105"/>
    <w:rsid w:val="00472764"/>
    <w:rsid w:val="004727AC"/>
    <w:rsid w:val="00472E4C"/>
    <w:rsid w:val="0047408E"/>
    <w:rsid w:val="0047555E"/>
    <w:rsid w:val="00475C2A"/>
    <w:rsid w:val="00476746"/>
    <w:rsid w:val="004776A9"/>
    <w:rsid w:val="00480BB2"/>
    <w:rsid w:val="004824AC"/>
    <w:rsid w:val="004837BC"/>
    <w:rsid w:val="00483D8F"/>
    <w:rsid w:val="004841FD"/>
    <w:rsid w:val="004854D7"/>
    <w:rsid w:val="004866CB"/>
    <w:rsid w:val="00486B79"/>
    <w:rsid w:val="004901E3"/>
    <w:rsid w:val="0049088A"/>
    <w:rsid w:val="00491F5D"/>
    <w:rsid w:val="00492ECE"/>
    <w:rsid w:val="0049305F"/>
    <w:rsid w:val="0049329F"/>
    <w:rsid w:val="00494776"/>
    <w:rsid w:val="00496D75"/>
    <w:rsid w:val="004A0D52"/>
    <w:rsid w:val="004A1C70"/>
    <w:rsid w:val="004A1C90"/>
    <w:rsid w:val="004A2F5E"/>
    <w:rsid w:val="004A659A"/>
    <w:rsid w:val="004B0319"/>
    <w:rsid w:val="004B189A"/>
    <w:rsid w:val="004B195C"/>
    <w:rsid w:val="004B1F4B"/>
    <w:rsid w:val="004B2346"/>
    <w:rsid w:val="004B2401"/>
    <w:rsid w:val="004B2F85"/>
    <w:rsid w:val="004B3FEE"/>
    <w:rsid w:val="004B651C"/>
    <w:rsid w:val="004C05CB"/>
    <w:rsid w:val="004C08EF"/>
    <w:rsid w:val="004C0CD2"/>
    <w:rsid w:val="004C1867"/>
    <w:rsid w:val="004C38CB"/>
    <w:rsid w:val="004C52BE"/>
    <w:rsid w:val="004C681C"/>
    <w:rsid w:val="004C7D2D"/>
    <w:rsid w:val="004D086F"/>
    <w:rsid w:val="004D15B8"/>
    <w:rsid w:val="004D21E2"/>
    <w:rsid w:val="004D2791"/>
    <w:rsid w:val="004D2BF9"/>
    <w:rsid w:val="004D2E84"/>
    <w:rsid w:val="004D32AE"/>
    <w:rsid w:val="004D3617"/>
    <w:rsid w:val="004D475C"/>
    <w:rsid w:val="004D5AD0"/>
    <w:rsid w:val="004D784D"/>
    <w:rsid w:val="004E04A7"/>
    <w:rsid w:val="004E04CE"/>
    <w:rsid w:val="004E12E7"/>
    <w:rsid w:val="004E1F46"/>
    <w:rsid w:val="004E262D"/>
    <w:rsid w:val="004E4362"/>
    <w:rsid w:val="004E4674"/>
    <w:rsid w:val="004E4783"/>
    <w:rsid w:val="004E4D2A"/>
    <w:rsid w:val="004E630A"/>
    <w:rsid w:val="004E7678"/>
    <w:rsid w:val="004F0D89"/>
    <w:rsid w:val="004F1AFA"/>
    <w:rsid w:val="004F21E5"/>
    <w:rsid w:val="004F2212"/>
    <w:rsid w:val="004F2232"/>
    <w:rsid w:val="004F44C5"/>
    <w:rsid w:val="00500584"/>
    <w:rsid w:val="00501303"/>
    <w:rsid w:val="00501E1B"/>
    <w:rsid w:val="0050203E"/>
    <w:rsid w:val="005026F7"/>
    <w:rsid w:val="0050283E"/>
    <w:rsid w:val="005036F7"/>
    <w:rsid w:val="00504C14"/>
    <w:rsid w:val="00505FD7"/>
    <w:rsid w:val="00506E06"/>
    <w:rsid w:val="00506F32"/>
    <w:rsid w:val="00512C8B"/>
    <w:rsid w:val="00513D22"/>
    <w:rsid w:val="00514C7A"/>
    <w:rsid w:val="00522E5C"/>
    <w:rsid w:val="00523021"/>
    <w:rsid w:val="00524C9B"/>
    <w:rsid w:val="00524D77"/>
    <w:rsid w:val="00527158"/>
    <w:rsid w:val="00527B92"/>
    <w:rsid w:val="00527C56"/>
    <w:rsid w:val="00531206"/>
    <w:rsid w:val="005322D9"/>
    <w:rsid w:val="00536E77"/>
    <w:rsid w:val="005376B2"/>
    <w:rsid w:val="0054066A"/>
    <w:rsid w:val="00540A90"/>
    <w:rsid w:val="00541DB9"/>
    <w:rsid w:val="0054312B"/>
    <w:rsid w:val="00545EB1"/>
    <w:rsid w:val="00546F10"/>
    <w:rsid w:val="0054798E"/>
    <w:rsid w:val="005519B7"/>
    <w:rsid w:val="0055209F"/>
    <w:rsid w:val="00552344"/>
    <w:rsid w:val="00552AD6"/>
    <w:rsid w:val="00556D68"/>
    <w:rsid w:val="0055718E"/>
    <w:rsid w:val="00561EE5"/>
    <w:rsid w:val="00562004"/>
    <w:rsid w:val="00562DAE"/>
    <w:rsid w:val="00562F03"/>
    <w:rsid w:val="00564092"/>
    <w:rsid w:val="00564848"/>
    <w:rsid w:val="00565DC0"/>
    <w:rsid w:val="00572DEF"/>
    <w:rsid w:val="005752B2"/>
    <w:rsid w:val="00575585"/>
    <w:rsid w:val="00576439"/>
    <w:rsid w:val="00576C80"/>
    <w:rsid w:val="00577542"/>
    <w:rsid w:val="00577FF1"/>
    <w:rsid w:val="005811A9"/>
    <w:rsid w:val="00581B09"/>
    <w:rsid w:val="00582D0E"/>
    <w:rsid w:val="005861F6"/>
    <w:rsid w:val="005865AA"/>
    <w:rsid w:val="0058680A"/>
    <w:rsid w:val="00590332"/>
    <w:rsid w:val="00590CCD"/>
    <w:rsid w:val="0059403A"/>
    <w:rsid w:val="00595264"/>
    <w:rsid w:val="00595BFA"/>
    <w:rsid w:val="00595CA2"/>
    <w:rsid w:val="005969D0"/>
    <w:rsid w:val="005A05D3"/>
    <w:rsid w:val="005A160F"/>
    <w:rsid w:val="005A2E5B"/>
    <w:rsid w:val="005A2F3D"/>
    <w:rsid w:val="005A57A8"/>
    <w:rsid w:val="005A5DEE"/>
    <w:rsid w:val="005A759D"/>
    <w:rsid w:val="005B008A"/>
    <w:rsid w:val="005B1E07"/>
    <w:rsid w:val="005B661D"/>
    <w:rsid w:val="005B663B"/>
    <w:rsid w:val="005C05D7"/>
    <w:rsid w:val="005C0CAB"/>
    <w:rsid w:val="005C1047"/>
    <w:rsid w:val="005C149D"/>
    <w:rsid w:val="005C1A3E"/>
    <w:rsid w:val="005C236F"/>
    <w:rsid w:val="005C2C49"/>
    <w:rsid w:val="005C33DA"/>
    <w:rsid w:val="005C3630"/>
    <w:rsid w:val="005C6B2B"/>
    <w:rsid w:val="005C7261"/>
    <w:rsid w:val="005C7F6C"/>
    <w:rsid w:val="005D1041"/>
    <w:rsid w:val="005D11D6"/>
    <w:rsid w:val="005D13BD"/>
    <w:rsid w:val="005D591C"/>
    <w:rsid w:val="005D5D98"/>
    <w:rsid w:val="005D6A9B"/>
    <w:rsid w:val="005D6BE8"/>
    <w:rsid w:val="005E09E7"/>
    <w:rsid w:val="005E0AA3"/>
    <w:rsid w:val="005E2C5C"/>
    <w:rsid w:val="005E2DE6"/>
    <w:rsid w:val="005E5858"/>
    <w:rsid w:val="005E6FFE"/>
    <w:rsid w:val="005F022D"/>
    <w:rsid w:val="005F107B"/>
    <w:rsid w:val="005F140B"/>
    <w:rsid w:val="005F1CE9"/>
    <w:rsid w:val="005F28E3"/>
    <w:rsid w:val="005F3D90"/>
    <w:rsid w:val="005F5897"/>
    <w:rsid w:val="005F6607"/>
    <w:rsid w:val="00602B20"/>
    <w:rsid w:val="00605F9E"/>
    <w:rsid w:val="00607486"/>
    <w:rsid w:val="00607C1C"/>
    <w:rsid w:val="00610B27"/>
    <w:rsid w:val="00610BAD"/>
    <w:rsid w:val="00610E91"/>
    <w:rsid w:val="0061222D"/>
    <w:rsid w:val="00612333"/>
    <w:rsid w:val="00613A2B"/>
    <w:rsid w:val="006158E9"/>
    <w:rsid w:val="006169DD"/>
    <w:rsid w:val="00617F42"/>
    <w:rsid w:val="0062040E"/>
    <w:rsid w:val="0062126C"/>
    <w:rsid w:val="006241F6"/>
    <w:rsid w:val="00624205"/>
    <w:rsid w:val="00624786"/>
    <w:rsid w:val="00624B5A"/>
    <w:rsid w:val="00625D29"/>
    <w:rsid w:val="00627D1E"/>
    <w:rsid w:val="006306A6"/>
    <w:rsid w:val="006318F5"/>
    <w:rsid w:val="006342B4"/>
    <w:rsid w:val="00634837"/>
    <w:rsid w:val="006400FB"/>
    <w:rsid w:val="00640906"/>
    <w:rsid w:val="00640A32"/>
    <w:rsid w:val="006415CA"/>
    <w:rsid w:val="00641907"/>
    <w:rsid w:val="006463D1"/>
    <w:rsid w:val="00646415"/>
    <w:rsid w:val="00646436"/>
    <w:rsid w:val="006515C6"/>
    <w:rsid w:val="00651B39"/>
    <w:rsid w:val="00653445"/>
    <w:rsid w:val="006546D2"/>
    <w:rsid w:val="006552CF"/>
    <w:rsid w:val="00655C14"/>
    <w:rsid w:val="0065740A"/>
    <w:rsid w:val="0066013F"/>
    <w:rsid w:val="00660F4C"/>
    <w:rsid w:val="00661A57"/>
    <w:rsid w:val="00663380"/>
    <w:rsid w:val="00663D7B"/>
    <w:rsid w:val="00663DCF"/>
    <w:rsid w:val="0066440A"/>
    <w:rsid w:val="00664CF7"/>
    <w:rsid w:val="00667331"/>
    <w:rsid w:val="00670A02"/>
    <w:rsid w:val="00671243"/>
    <w:rsid w:val="00672349"/>
    <w:rsid w:val="00672781"/>
    <w:rsid w:val="00674853"/>
    <w:rsid w:val="00677BCF"/>
    <w:rsid w:val="0068010C"/>
    <w:rsid w:val="006806B3"/>
    <w:rsid w:val="00681676"/>
    <w:rsid w:val="00681A6A"/>
    <w:rsid w:val="00684A8A"/>
    <w:rsid w:val="0068501E"/>
    <w:rsid w:val="0068537B"/>
    <w:rsid w:val="00685534"/>
    <w:rsid w:val="00685D70"/>
    <w:rsid w:val="006867BE"/>
    <w:rsid w:val="006876AE"/>
    <w:rsid w:val="00687CEB"/>
    <w:rsid w:val="00690449"/>
    <w:rsid w:val="00690940"/>
    <w:rsid w:val="00692358"/>
    <w:rsid w:val="00692AD6"/>
    <w:rsid w:val="00693560"/>
    <w:rsid w:val="0069420C"/>
    <w:rsid w:val="00695C79"/>
    <w:rsid w:val="00696C01"/>
    <w:rsid w:val="006A1BBE"/>
    <w:rsid w:val="006A2060"/>
    <w:rsid w:val="006A2E2D"/>
    <w:rsid w:val="006A40C0"/>
    <w:rsid w:val="006A4122"/>
    <w:rsid w:val="006A4A26"/>
    <w:rsid w:val="006A61C5"/>
    <w:rsid w:val="006B056D"/>
    <w:rsid w:val="006B0A23"/>
    <w:rsid w:val="006B1293"/>
    <w:rsid w:val="006B165C"/>
    <w:rsid w:val="006B16A7"/>
    <w:rsid w:val="006B2864"/>
    <w:rsid w:val="006B2B0C"/>
    <w:rsid w:val="006B3635"/>
    <w:rsid w:val="006B3B41"/>
    <w:rsid w:val="006B479A"/>
    <w:rsid w:val="006B5E66"/>
    <w:rsid w:val="006B7C35"/>
    <w:rsid w:val="006C12E3"/>
    <w:rsid w:val="006C15D7"/>
    <w:rsid w:val="006C1B12"/>
    <w:rsid w:val="006C1FF8"/>
    <w:rsid w:val="006C47C4"/>
    <w:rsid w:val="006C4B70"/>
    <w:rsid w:val="006C4CC9"/>
    <w:rsid w:val="006C623B"/>
    <w:rsid w:val="006D0C76"/>
    <w:rsid w:val="006D172D"/>
    <w:rsid w:val="006D39BD"/>
    <w:rsid w:val="006D426E"/>
    <w:rsid w:val="006D5418"/>
    <w:rsid w:val="006D6106"/>
    <w:rsid w:val="006D6345"/>
    <w:rsid w:val="006E05E6"/>
    <w:rsid w:val="006E27F5"/>
    <w:rsid w:val="006E30CB"/>
    <w:rsid w:val="006E3DC5"/>
    <w:rsid w:val="006F17FA"/>
    <w:rsid w:val="006F3F74"/>
    <w:rsid w:val="006F41BE"/>
    <w:rsid w:val="006F6504"/>
    <w:rsid w:val="006F70C2"/>
    <w:rsid w:val="006F7373"/>
    <w:rsid w:val="00700288"/>
    <w:rsid w:val="00700858"/>
    <w:rsid w:val="00700C6C"/>
    <w:rsid w:val="00700F9C"/>
    <w:rsid w:val="007010BD"/>
    <w:rsid w:val="00701D9D"/>
    <w:rsid w:val="007021F9"/>
    <w:rsid w:val="00703589"/>
    <w:rsid w:val="00703AE1"/>
    <w:rsid w:val="00704142"/>
    <w:rsid w:val="007052C3"/>
    <w:rsid w:val="007078AF"/>
    <w:rsid w:val="00710850"/>
    <w:rsid w:val="0071187A"/>
    <w:rsid w:val="00711DC8"/>
    <w:rsid w:val="00712F23"/>
    <w:rsid w:val="00713F89"/>
    <w:rsid w:val="00713FAF"/>
    <w:rsid w:val="00714D05"/>
    <w:rsid w:val="007151A4"/>
    <w:rsid w:val="007153AA"/>
    <w:rsid w:val="007208C0"/>
    <w:rsid w:val="00720DDF"/>
    <w:rsid w:val="00720F62"/>
    <w:rsid w:val="00721B39"/>
    <w:rsid w:val="00723122"/>
    <w:rsid w:val="00724F8D"/>
    <w:rsid w:val="007250D6"/>
    <w:rsid w:val="00725777"/>
    <w:rsid w:val="0072577B"/>
    <w:rsid w:val="00725D2D"/>
    <w:rsid w:val="00725FA4"/>
    <w:rsid w:val="007270B9"/>
    <w:rsid w:val="00727BEC"/>
    <w:rsid w:val="00730DD5"/>
    <w:rsid w:val="0073342B"/>
    <w:rsid w:val="00734EC4"/>
    <w:rsid w:val="007351A4"/>
    <w:rsid w:val="00737C01"/>
    <w:rsid w:val="00740368"/>
    <w:rsid w:val="0074119A"/>
    <w:rsid w:val="0074128B"/>
    <w:rsid w:val="007420B5"/>
    <w:rsid w:val="007424B1"/>
    <w:rsid w:val="00742B87"/>
    <w:rsid w:val="00743060"/>
    <w:rsid w:val="00743F36"/>
    <w:rsid w:val="0074543C"/>
    <w:rsid w:val="00745A07"/>
    <w:rsid w:val="0075039E"/>
    <w:rsid w:val="00750AA0"/>
    <w:rsid w:val="00752063"/>
    <w:rsid w:val="00753587"/>
    <w:rsid w:val="00754881"/>
    <w:rsid w:val="00756132"/>
    <w:rsid w:val="00756133"/>
    <w:rsid w:val="00757514"/>
    <w:rsid w:val="00761126"/>
    <w:rsid w:val="007612D6"/>
    <w:rsid w:val="00761502"/>
    <w:rsid w:val="007618D0"/>
    <w:rsid w:val="007618F6"/>
    <w:rsid w:val="007628F4"/>
    <w:rsid w:val="007629A6"/>
    <w:rsid w:val="00763099"/>
    <w:rsid w:val="00765998"/>
    <w:rsid w:val="007672C6"/>
    <w:rsid w:val="0077005B"/>
    <w:rsid w:val="00771F63"/>
    <w:rsid w:val="007739A0"/>
    <w:rsid w:val="00774C5B"/>
    <w:rsid w:val="00774CF3"/>
    <w:rsid w:val="007756BE"/>
    <w:rsid w:val="0078057B"/>
    <w:rsid w:val="00782238"/>
    <w:rsid w:val="007822F5"/>
    <w:rsid w:val="00783B45"/>
    <w:rsid w:val="00783BF3"/>
    <w:rsid w:val="00783EB9"/>
    <w:rsid w:val="00785999"/>
    <w:rsid w:val="00785C73"/>
    <w:rsid w:val="00787A09"/>
    <w:rsid w:val="007903F5"/>
    <w:rsid w:val="00791B00"/>
    <w:rsid w:val="00791B03"/>
    <w:rsid w:val="00791CCE"/>
    <w:rsid w:val="00791D4F"/>
    <w:rsid w:val="0079295F"/>
    <w:rsid w:val="00792D12"/>
    <w:rsid w:val="00793C68"/>
    <w:rsid w:val="00794EC7"/>
    <w:rsid w:val="00795B44"/>
    <w:rsid w:val="00796A11"/>
    <w:rsid w:val="007A073B"/>
    <w:rsid w:val="007A092A"/>
    <w:rsid w:val="007A0FAE"/>
    <w:rsid w:val="007A30C0"/>
    <w:rsid w:val="007A3396"/>
    <w:rsid w:val="007A3ED0"/>
    <w:rsid w:val="007A439F"/>
    <w:rsid w:val="007A4635"/>
    <w:rsid w:val="007A4EA6"/>
    <w:rsid w:val="007A56CF"/>
    <w:rsid w:val="007A680D"/>
    <w:rsid w:val="007A710B"/>
    <w:rsid w:val="007B174B"/>
    <w:rsid w:val="007B3610"/>
    <w:rsid w:val="007B4064"/>
    <w:rsid w:val="007B4125"/>
    <w:rsid w:val="007B4908"/>
    <w:rsid w:val="007B59AD"/>
    <w:rsid w:val="007B7802"/>
    <w:rsid w:val="007C1377"/>
    <w:rsid w:val="007C1647"/>
    <w:rsid w:val="007C2371"/>
    <w:rsid w:val="007C26DB"/>
    <w:rsid w:val="007C397A"/>
    <w:rsid w:val="007C3B93"/>
    <w:rsid w:val="007C3C07"/>
    <w:rsid w:val="007C4206"/>
    <w:rsid w:val="007C66C0"/>
    <w:rsid w:val="007C69CF"/>
    <w:rsid w:val="007C78D2"/>
    <w:rsid w:val="007D0412"/>
    <w:rsid w:val="007D253B"/>
    <w:rsid w:val="007D34BC"/>
    <w:rsid w:val="007D426C"/>
    <w:rsid w:val="007D5CC8"/>
    <w:rsid w:val="007D6C8D"/>
    <w:rsid w:val="007D71C1"/>
    <w:rsid w:val="007D723A"/>
    <w:rsid w:val="007E0A5D"/>
    <w:rsid w:val="007E1429"/>
    <w:rsid w:val="007E14F8"/>
    <w:rsid w:val="007E1C48"/>
    <w:rsid w:val="007E28B1"/>
    <w:rsid w:val="007E3C0E"/>
    <w:rsid w:val="007E3C70"/>
    <w:rsid w:val="007E4695"/>
    <w:rsid w:val="007E6C5F"/>
    <w:rsid w:val="007E6DA7"/>
    <w:rsid w:val="007E6EE0"/>
    <w:rsid w:val="007E75A6"/>
    <w:rsid w:val="007F09B9"/>
    <w:rsid w:val="007F1009"/>
    <w:rsid w:val="007F2AAA"/>
    <w:rsid w:val="007F2EB7"/>
    <w:rsid w:val="007F2EEF"/>
    <w:rsid w:val="007F4089"/>
    <w:rsid w:val="007F433E"/>
    <w:rsid w:val="007F4466"/>
    <w:rsid w:val="007F4B69"/>
    <w:rsid w:val="007F4FCC"/>
    <w:rsid w:val="007F5082"/>
    <w:rsid w:val="007F568E"/>
    <w:rsid w:val="007F7686"/>
    <w:rsid w:val="00801CAA"/>
    <w:rsid w:val="00802EC4"/>
    <w:rsid w:val="00803733"/>
    <w:rsid w:val="00804A6E"/>
    <w:rsid w:val="00805C46"/>
    <w:rsid w:val="008068AA"/>
    <w:rsid w:val="008071DF"/>
    <w:rsid w:val="008107E6"/>
    <w:rsid w:val="008109FA"/>
    <w:rsid w:val="00811490"/>
    <w:rsid w:val="00812C03"/>
    <w:rsid w:val="00813984"/>
    <w:rsid w:val="008140B0"/>
    <w:rsid w:val="00814577"/>
    <w:rsid w:val="008146A3"/>
    <w:rsid w:val="00814C55"/>
    <w:rsid w:val="00815A39"/>
    <w:rsid w:val="00816062"/>
    <w:rsid w:val="00817344"/>
    <w:rsid w:val="00820897"/>
    <w:rsid w:val="008239A2"/>
    <w:rsid w:val="00823A79"/>
    <w:rsid w:val="00823AE6"/>
    <w:rsid w:val="00824EC3"/>
    <w:rsid w:val="0082712B"/>
    <w:rsid w:val="00827D2A"/>
    <w:rsid w:val="00827E48"/>
    <w:rsid w:val="00830F98"/>
    <w:rsid w:val="0083160B"/>
    <w:rsid w:val="00832CE4"/>
    <w:rsid w:val="0083318F"/>
    <w:rsid w:val="00833F9D"/>
    <w:rsid w:val="00834EA9"/>
    <w:rsid w:val="0083568D"/>
    <w:rsid w:val="008356AE"/>
    <w:rsid w:val="00836466"/>
    <w:rsid w:val="008371E4"/>
    <w:rsid w:val="00837953"/>
    <w:rsid w:val="008419E1"/>
    <w:rsid w:val="00841D49"/>
    <w:rsid w:val="00842B3A"/>
    <w:rsid w:val="00843E5E"/>
    <w:rsid w:val="008447D9"/>
    <w:rsid w:val="00845137"/>
    <w:rsid w:val="00845E69"/>
    <w:rsid w:val="00846313"/>
    <w:rsid w:val="00846AAB"/>
    <w:rsid w:val="00846C76"/>
    <w:rsid w:val="00847A49"/>
    <w:rsid w:val="0085042C"/>
    <w:rsid w:val="00851A3E"/>
    <w:rsid w:val="0085259F"/>
    <w:rsid w:val="0085328A"/>
    <w:rsid w:val="0085389C"/>
    <w:rsid w:val="00855410"/>
    <w:rsid w:val="00855F00"/>
    <w:rsid w:val="008577D4"/>
    <w:rsid w:val="00857D8D"/>
    <w:rsid w:val="00860BD3"/>
    <w:rsid w:val="0086103D"/>
    <w:rsid w:val="00861DA7"/>
    <w:rsid w:val="00862503"/>
    <w:rsid w:val="008631C0"/>
    <w:rsid w:val="00863A36"/>
    <w:rsid w:val="00864BCD"/>
    <w:rsid w:val="00864ECB"/>
    <w:rsid w:val="00865044"/>
    <w:rsid w:val="0086527F"/>
    <w:rsid w:val="00866534"/>
    <w:rsid w:val="00866621"/>
    <w:rsid w:val="00866A22"/>
    <w:rsid w:val="0087206C"/>
    <w:rsid w:val="00872951"/>
    <w:rsid w:val="008731F6"/>
    <w:rsid w:val="0087334B"/>
    <w:rsid w:val="00873C9D"/>
    <w:rsid w:val="00874873"/>
    <w:rsid w:val="0087539C"/>
    <w:rsid w:val="008768DE"/>
    <w:rsid w:val="0087752B"/>
    <w:rsid w:val="008809BE"/>
    <w:rsid w:val="00880FBD"/>
    <w:rsid w:val="008815B4"/>
    <w:rsid w:val="008821EB"/>
    <w:rsid w:val="00882E67"/>
    <w:rsid w:val="00882EC3"/>
    <w:rsid w:val="00882F5A"/>
    <w:rsid w:val="00883040"/>
    <w:rsid w:val="0088378C"/>
    <w:rsid w:val="008854FA"/>
    <w:rsid w:val="00885A08"/>
    <w:rsid w:val="0088674B"/>
    <w:rsid w:val="008908D6"/>
    <w:rsid w:val="008924F7"/>
    <w:rsid w:val="008942B0"/>
    <w:rsid w:val="008947A0"/>
    <w:rsid w:val="008A05F0"/>
    <w:rsid w:val="008A0B55"/>
    <w:rsid w:val="008A0D1E"/>
    <w:rsid w:val="008A137D"/>
    <w:rsid w:val="008A19FC"/>
    <w:rsid w:val="008A1D06"/>
    <w:rsid w:val="008A1FFD"/>
    <w:rsid w:val="008A2E7F"/>
    <w:rsid w:val="008A36D5"/>
    <w:rsid w:val="008A3B76"/>
    <w:rsid w:val="008A779E"/>
    <w:rsid w:val="008A7CE5"/>
    <w:rsid w:val="008B0CBD"/>
    <w:rsid w:val="008B0F44"/>
    <w:rsid w:val="008B3A64"/>
    <w:rsid w:val="008B5F7B"/>
    <w:rsid w:val="008B64FC"/>
    <w:rsid w:val="008B7B72"/>
    <w:rsid w:val="008C0489"/>
    <w:rsid w:val="008C0B6C"/>
    <w:rsid w:val="008C0DB1"/>
    <w:rsid w:val="008C0F2C"/>
    <w:rsid w:val="008C1EC8"/>
    <w:rsid w:val="008C2834"/>
    <w:rsid w:val="008C4C86"/>
    <w:rsid w:val="008C5EC6"/>
    <w:rsid w:val="008C6ADE"/>
    <w:rsid w:val="008C751B"/>
    <w:rsid w:val="008D0EDC"/>
    <w:rsid w:val="008D1873"/>
    <w:rsid w:val="008D2BB7"/>
    <w:rsid w:val="008D381B"/>
    <w:rsid w:val="008D6EF5"/>
    <w:rsid w:val="008E0D03"/>
    <w:rsid w:val="008E0EC1"/>
    <w:rsid w:val="008E1F16"/>
    <w:rsid w:val="008E218C"/>
    <w:rsid w:val="008E2F1F"/>
    <w:rsid w:val="008E3858"/>
    <w:rsid w:val="008E4D5F"/>
    <w:rsid w:val="008F027A"/>
    <w:rsid w:val="008F07CD"/>
    <w:rsid w:val="008F16CE"/>
    <w:rsid w:val="008F251D"/>
    <w:rsid w:val="008F348C"/>
    <w:rsid w:val="008F34F2"/>
    <w:rsid w:val="008F4012"/>
    <w:rsid w:val="008F58B7"/>
    <w:rsid w:val="008F5CC7"/>
    <w:rsid w:val="008F6289"/>
    <w:rsid w:val="008F780E"/>
    <w:rsid w:val="00900132"/>
    <w:rsid w:val="009012D3"/>
    <w:rsid w:val="0090311D"/>
    <w:rsid w:val="00904889"/>
    <w:rsid w:val="0090504E"/>
    <w:rsid w:val="009063D8"/>
    <w:rsid w:val="00906CFA"/>
    <w:rsid w:val="009071FC"/>
    <w:rsid w:val="009108C2"/>
    <w:rsid w:val="00910B9D"/>
    <w:rsid w:val="00910DCA"/>
    <w:rsid w:val="00911999"/>
    <w:rsid w:val="0091287B"/>
    <w:rsid w:val="00915107"/>
    <w:rsid w:val="0091554D"/>
    <w:rsid w:val="00916035"/>
    <w:rsid w:val="00920565"/>
    <w:rsid w:val="009208CD"/>
    <w:rsid w:val="00920FE4"/>
    <w:rsid w:val="00921211"/>
    <w:rsid w:val="00922C2B"/>
    <w:rsid w:val="00923245"/>
    <w:rsid w:val="009245DB"/>
    <w:rsid w:val="00926946"/>
    <w:rsid w:val="009271A8"/>
    <w:rsid w:val="00935518"/>
    <w:rsid w:val="00935881"/>
    <w:rsid w:val="00935BE0"/>
    <w:rsid w:val="00936675"/>
    <w:rsid w:val="009375D8"/>
    <w:rsid w:val="009375F2"/>
    <w:rsid w:val="00937AF2"/>
    <w:rsid w:val="00937C4C"/>
    <w:rsid w:val="00940BAC"/>
    <w:rsid w:val="00941315"/>
    <w:rsid w:val="009427F6"/>
    <w:rsid w:val="009434F0"/>
    <w:rsid w:val="0094700E"/>
    <w:rsid w:val="009510F5"/>
    <w:rsid w:val="009517C0"/>
    <w:rsid w:val="00951E4D"/>
    <w:rsid w:val="00953F5C"/>
    <w:rsid w:val="0095664D"/>
    <w:rsid w:val="00956BA5"/>
    <w:rsid w:val="00957D25"/>
    <w:rsid w:val="00960582"/>
    <w:rsid w:val="00962AC9"/>
    <w:rsid w:val="009634E3"/>
    <w:rsid w:val="00966B42"/>
    <w:rsid w:val="00966DC1"/>
    <w:rsid w:val="00967CA8"/>
    <w:rsid w:val="00967FA3"/>
    <w:rsid w:val="00970848"/>
    <w:rsid w:val="00970D3C"/>
    <w:rsid w:val="0097207C"/>
    <w:rsid w:val="00972DFF"/>
    <w:rsid w:val="009743F6"/>
    <w:rsid w:val="009765DB"/>
    <w:rsid w:val="00983C01"/>
    <w:rsid w:val="0098465E"/>
    <w:rsid w:val="0098478E"/>
    <w:rsid w:val="00985854"/>
    <w:rsid w:val="009868A6"/>
    <w:rsid w:val="00986A39"/>
    <w:rsid w:val="00986C46"/>
    <w:rsid w:val="00987953"/>
    <w:rsid w:val="0099013F"/>
    <w:rsid w:val="009926BD"/>
    <w:rsid w:val="0099295A"/>
    <w:rsid w:val="00993ADA"/>
    <w:rsid w:val="00994315"/>
    <w:rsid w:val="00994B4F"/>
    <w:rsid w:val="009A0D5E"/>
    <w:rsid w:val="009A28BF"/>
    <w:rsid w:val="009A3199"/>
    <w:rsid w:val="009A34C4"/>
    <w:rsid w:val="009A4B5B"/>
    <w:rsid w:val="009A4BB9"/>
    <w:rsid w:val="009A614A"/>
    <w:rsid w:val="009B0424"/>
    <w:rsid w:val="009B0EB7"/>
    <w:rsid w:val="009B5779"/>
    <w:rsid w:val="009B5BC3"/>
    <w:rsid w:val="009B5EB3"/>
    <w:rsid w:val="009B6A48"/>
    <w:rsid w:val="009C3DFF"/>
    <w:rsid w:val="009C40CE"/>
    <w:rsid w:val="009C4143"/>
    <w:rsid w:val="009C485D"/>
    <w:rsid w:val="009C5CBD"/>
    <w:rsid w:val="009C6819"/>
    <w:rsid w:val="009C6839"/>
    <w:rsid w:val="009C6C67"/>
    <w:rsid w:val="009C6F7C"/>
    <w:rsid w:val="009C7881"/>
    <w:rsid w:val="009C7A50"/>
    <w:rsid w:val="009C7B27"/>
    <w:rsid w:val="009D0301"/>
    <w:rsid w:val="009D0BC0"/>
    <w:rsid w:val="009D42C7"/>
    <w:rsid w:val="009D4F15"/>
    <w:rsid w:val="009D591D"/>
    <w:rsid w:val="009D5D48"/>
    <w:rsid w:val="009D71A6"/>
    <w:rsid w:val="009D71BB"/>
    <w:rsid w:val="009E1333"/>
    <w:rsid w:val="009E1683"/>
    <w:rsid w:val="009E176A"/>
    <w:rsid w:val="009E1D69"/>
    <w:rsid w:val="009E2C2F"/>
    <w:rsid w:val="009E3402"/>
    <w:rsid w:val="009E7425"/>
    <w:rsid w:val="009E75E2"/>
    <w:rsid w:val="009F0E69"/>
    <w:rsid w:val="009F2130"/>
    <w:rsid w:val="009F27CE"/>
    <w:rsid w:val="009F2F11"/>
    <w:rsid w:val="009F40A3"/>
    <w:rsid w:val="009F46EA"/>
    <w:rsid w:val="009F66DC"/>
    <w:rsid w:val="009F7FBE"/>
    <w:rsid w:val="00A005C5"/>
    <w:rsid w:val="00A020E5"/>
    <w:rsid w:val="00A03FB3"/>
    <w:rsid w:val="00A134E4"/>
    <w:rsid w:val="00A143A6"/>
    <w:rsid w:val="00A203DA"/>
    <w:rsid w:val="00A210B4"/>
    <w:rsid w:val="00A21F35"/>
    <w:rsid w:val="00A22338"/>
    <w:rsid w:val="00A2283B"/>
    <w:rsid w:val="00A249F4"/>
    <w:rsid w:val="00A24B3F"/>
    <w:rsid w:val="00A25F64"/>
    <w:rsid w:val="00A27337"/>
    <w:rsid w:val="00A276B6"/>
    <w:rsid w:val="00A30DFB"/>
    <w:rsid w:val="00A3241D"/>
    <w:rsid w:val="00A3383B"/>
    <w:rsid w:val="00A3446A"/>
    <w:rsid w:val="00A3532F"/>
    <w:rsid w:val="00A365A0"/>
    <w:rsid w:val="00A3732B"/>
    <w:rsid w:val="00A37CC7"/>
    <w:rsid w:val="00A37F95"/>
    <w:rsid w:val="00A40BA1"/>
    <w:rsid w:val="00A42311"/>
    <w:rsid w:val="00A439AF"/>
    <w:rsid w:val="00A453DB"/>
    <w:rsid w:val="00A47B9E"/>
    <w:rsid w:val="00A5017D"/>
    <w:rsid w:val="00A50854"/>
    <w:rsid w:val="00A5104D"/>
    <w:rsid w:val="00A55C3A"/>
    <w:rsid w:val="00A575BB"/>
    <w:rsid w:val="00A578BA"/>
    <w:rsid w:val="00A57AED"/>
    <w:rsid w:val="00A6392B"/>
    <w:rsid w:val="00A639D2"/>
    <w:rsid w:val="00A64AED"/>
    <w:rsid w:val="00A65267"/>
    <w:rsid w:val="00A67530"/>
    <w:rsid w:val="00A67926"/>
    <w:rsid w:val="00A70661"/>
    <w:rsid w:val="00A71103"/>
    <w:rsid w:val="00A72E02"/>
    <w:rsid w:val="00A737B4"/>
    <w:rsid w:val="00A75757"/>
    <w:rsid w:val="00A7685B"/>
    <w:rsid w:val="00A80625"/>
    <w:rsid w:val="00A81633"/>
    <w:rsid w:val="00A81D4C"/>
    <w:rsid w:val="00A831FB"/>
    <w:rsid w:val="00A839EA"/>
    <w:rsid w:val="00A84AD9"/>
    <w:rsid w:val="00A85329"/>
    <w:rsid w:val="00A8620E"/>
    <w:rsid w:val="00A86671"/>
    <w:rsid w:val="00A8676B"/>
    <w:rsid w:val="00A869D8"/>
    <w:rsid w:val="00A92751"/>
    <w:rsid w:val="00A929FF"/>
    <w:rsid w:val="00A92BA0"/>
    <w:rsid w:val="00A933C0"/>
    <w:rsid w:val="00AA1D74"/>
    <w:rsid w:val="00AA1E31"/>
    <w:rsid w:val="00AA4223"/>
    <w:rsid w:val="00AA4DBB"/>
    <w:rsid w:val="00AA6BDF"/>
    <w:rsid w:val="00AB021D"/>
    <w:rsid w:val="00AB2272"/>
    <w:rsid w:val="00AB2411"/>
    <w:rsid w:val="00AB2D57"/>
    <w:rsid w:val="00AB2FF0"/>
    <w:rsid w:val="00AB3413"/>
    <w:rsid w:val="00AB5AEF"/>
    <w:rsid w:val="00AB61F2"/>
    <w:rsid w:val="00AB6E85"/>
    <w:rsid w:val="00AC0B22"/>
    <w:rsid w:val="00AC376F"/>
    <w:rsid w:val="00AC3BD8"/>
    <w:rsid w:val="00AC4AAF"/>
    <w:rsid w:val="00AC4BA5"/>
    <w:rsid w:val="00AC6B85"/>
    <w:rsid w:val="00AC7D8C"/>
    <w:rsid w:val="00AD083C"/>
    <w:rsid w:val="00AD0A14"/>
    <w:rsid w:val="00AD0CCD"/>
    <w:rsid w:val="00AD12DA"/>
    <w:rsid w:val="00AD26B1"/>
    <w:rsid w:val="00AD44D3"/>
    <w:rsid w:val="00AD5613"/>
    <w:rsid w:val="00AD6490"/>
    <w:rsid w:val="00AD66A1"/>
    <w:rsid w:val="00AE1589"/>
    <w:rsid w:val="00AE1B2C"/>
    <w:rsid w:val="00AE28A0"/>
    <w:rsid w:val="00AE3520"/>
    <w:rsid w:val="00AE4ABE"/>
    <w:rsid w:val="00AE57D5"/>
    <w:rsid w:val="00AE5B3A"/>
    <w:rsid w:val="00AE68A3"/>
    <w:rsid w:val="00AE68B4"/>
    <w:rsid w:val="00AF0563"/>
    <w:rsid w:val="00AF05FD"/>
    <w:rsid w:val="00AF1407"/>
    <w:rsid w:val="00AF1D4E"/>
    <w:rsid w:val="00AF24E2"/>
    <w:rsid w:val="00AF44A4"/>
    <w:rsid w:val="00B00B3D"/>
    <w:rsid w:val="00B019D1"/>
    <w:rsid w:val="00B03D83"/>
    <w:rsid w:val="00B04391"/>
    <w:rsid w:val="00B05B9C"/>
    <w:rsid w:val="00B13731"/>
    <w:rsid w:val="00B13883"/>
    <w:rsid w:val="00B1416A"/>
    <w:rsid w:val="00B15628"/>
    <w:rsid w:val="00B160C0"/>
    <w:rsid w:val="00B16513"/>
    <w:rsid w:val="00B165B7"/>
    <w:rsid w:val="00B166DB"/>
    <w:rsid w:val="00B170B6"/>
    <w:rsid w:val="00B175DF"/>
    <w:rsid w:val="00B21BB7"/>
    <w:rsid w:val="00B22A5B"/>
    <w:rsid w:val="00B22C56"/>
    <w:rsid w:val="00B25AAB"/>
    <w:rsid w:val="00B25D2B"/>
    <w:rsid w:val="00B261A6"/>
    <w:rsid w:val="00B26D2A"/>
    <w:rsid w:val="00B316E3"/>
    <w:rsid w:val="00B329D3"/>
    <w:rsid w:val="00B32E21"/>
    <w:rsid w:val="00B336C3"/>
    <w:rsid w:val="00B33AF8"/>
    <w:rsid w:val="00B33CCF"/>
    <w:rsid w:val="00B34989"/>
    <w:rsid w:val="00B3544C"/>
    <w:rsid w:val="00B35476"/>
    <w:rsid w:val="00B3589D"/>
    <w:rsid w:val="00B36A08"/>
    <w:rsid w:val="00B36AF6"/>
    <w:rsid w:val="00B37744"/>
    <w:rsid w:val="00B37A11"/>
    <w:rsid w:val="00B402C3"/>
    <w:rsid w:val="00B402E5"/>
    <w:rsid w:val="00B42243"/>
    <w:rsid w:val="00B472B9"/>
    <w:rsid w:val="00B47679"/>
    <w:rsid w:val="00B47CC1"/>
    <w:rsid w:val="00B52211"/>
    <w:rsid w:val="00B52229"/>
    <w:rsid w:val="00B53BAC"/>
    <w:rsid w:val="00B5537F"/>
    <w:rsid w:val="00B55AED"/>
    <w:rsid w:val="00B57ED2"/>
    <w:rsid w:val="00B6074B"/>
    <w:rsid w:val="00B60DFB"/>
    <w:rsid w:val="00B60E3B"/>
    <w:rsid w:val="00B63477"/>
    <w:rsid w:val="00B63AA2"/>
    <w:rsid w:val="00B64BF4"/>
    <w:rsid w:val="00B66EDA"/>
    <w:rsid w:val="00B6754C"/>
    <w:rsid w:val="00B70B36"/>
    <w:rsid w:val="00B70E57"/>
    <w:rsid w:val="00B71623"/>
    <w:rsid w:val="00B71763"/>
    <w:rsid w:val="00B7225B"/>
    <w:rsid w:val="00B72336"/>
    <w:rsid w:val="00B7274A"/>
    <w:rsid w:val="00B73696"/>
    <w:rsid w:val="00B73A7B"/>
    <w:rsid w:val="00B73D42"/>
    <w:rsid w:val="00B755C7"/>
    <w:rsid w:val="00B768B2"/>
    <w:rsid w:val="00B80954"/>
    <w:rsid w:val="00B82A67"/>
    <w:rsid w:val="00B82EF0"/>
    <w:rsid w:val="00B82FB8"/>
    <w:rsid w:val="00B846E2"/>
    <w:rsid w:val="00B84775"/>
    <w:rsid w:val="00B84BF7"/>
    <w:rsid w:val="00B85B89"/>
    <w:rsid w:val="00B87117"/>
    <w:rsid w:val="00B8711F"/>
    <w:rsid w:val="00B8732B"/>
    <w:rsid w:val="00B87550"/>
    <w:rsid w:val="00B87966"/>
    <w:rsid w:val="00B90949"/>
    <w:rsid w:val="00B92BA8"/>
    <w:rsid w:val="00B92D93"/>
    <w:rsid w:val="00B9322B"/>
    <w:rsid w:val="00B95298"/>
    <w:rsid w:val="00B9535C"/>
    <w:rsid w:val="00B962F8"/>
    <w:rsid w:val="00B97018"/>
    <w:rsid w:val="00B9773A"/>
    <w:rsid w:val="00BA043F"/>
    <w:rsid w:val="00BA136E"/>
    <w:rsid w:val="00BA2B41"/>
    <w:rsid w:val="00BA502E"/>
    <w:rsid w:val="00BA5323"/>
    <w:rsid w:val="00BA54AB"/>
    <w:rsid w:val="00BA6009"/>
    <w:rsid w:val="00BA6406"/>
    <w:rsid w:val="00BA6E35"/>
    <w:rsid w:val="00BA7D25"/>
    <w:rsid w:val="00BB04FA"/>
    <w:rsid w:val="00BB289F"/>
    <w:rsid w:val="00BB336F"/>
    <w:rsid w:val="00BB3BC8"/>
    <w:rsid w:val="00BB40B5"/>
    <w:rsid w:val="00BB72A4"/>
    <w:rsid w:val="00BB7F79"/>
    <w:rsid w:val="00BC062B"/>
    <w:rsid w:val="00BC0C2E"/>
    <w:rsid w:val="00BC10ED"/>
    <w:rsid w:val="00BC2458"/>
    <w:rsid w:val="00BC285C"/>
    <w:rsid w:val="00BC3820"/>
    <w:rsid w:val="00BC3B0C"/>
    <w:rsid w:val="00BC3C85"/>
    <w:rsid w:val="00BC562B"/>
    <w:rsid w:val="00BC62B8"/>
    <w:rsid w:val="00BC638C"/>
    <w:rsid w:val="00BC6530"/>
    <w:rsid w:val="00BC6657"/>
    <w:rsid w:val="00BC7BED"/>
    <w:rsid w:val="00BC7C3D"/>
    <w:rsid w:val="00BD0735"/>
    <w:rsid w:val="00BD47DB"/>
    <w:rsid w:val="00BD5D21"/>
    <w:rsid w:val="00BD6D69"/>
    <w:rsid w:val="00BD754F"/>
    <w:rsid w:val="00BE175A"/>
    <w:rsid w:val="00BE40E0"/>
    <w:rsid w:val="00BE4A84"/>
    <w:rsid w:val="00BE5AFD"/>
    <w:rsid w:val="00BE5C79"/>
    <w:rsid w:val="00BE5DBC"/>
    <w:rsid w:val="00BE602E"/>
    <w:rsid w:val="00BE6C21"/>
    <w:rsid w:val="00BE777D"/>
    <w:rsid w:val="00BE7E4F"/>
    <w:rsid w:val="00BF1001"/>
    <w:rsid w:val="00BF12FA"/>
    <w:rsid w:val="00BF1317"/>
    <w:rsid w:val="00BF18BE"/>
    <w:rsid w:val="00BF218D"/>
    <w:rsid w:val="00BF26EB"/>
    <w:rsid w:val="00BF58BF"/>
    <w:rsid w:val="00BF5C68"/>
    <w:rsid w:val="00BF7D40"/>
    <w:rsid w:val="00C002B2"/>
    <w:rsid w:val="00C00B75"/>
    <w:rsid w:val="00C01557"/>
    <w:rsid w:val="00C02287"/>
    <w:rsid w:val="00C0381A"/>
    <w:rsid w:val="00C04394"/>
    <w:rsid w:val="00C05565"/>
    <w:rsid w:val="00C05933"/>
    <w:rsid w:val="00C05D2F"/>
    <w:rsid w:val="00C0715C"/>
    <w:rsid w:val="00C0785F"/>
    <w:rsid w:val="00C10A6D"/>
    <w:rsid w:val="00C11184"/>
    <w:rsid w:val="00C11FA2"/>
    <w:rsid w:val="00C12A49"/>
    <w:rsid w:val="00C1340E"/>
    <w:rsid w:val="00C1386E"/>
    <w:rsid w:val="00C14120"/>
    <w:rsid w:val="00C14D81"/>
    <w:rsid w:val="00C151A1"/>
    <w:rsid w:val="00C1621B"/>
    <w:rsid w:val="00C2017F"/>
    <w:rsid w:val="00C21525"/>
    <w:rsid w:val="00C22420"/>
    <w:rsid w:val="00C22C87"/>
    <w:rsid w:val="00C26117"/>
    <w:rsid w:val="00C31323"/>
    <w:rsid w:val="00C31430"/>
    <w:rsid w:val="00C32DAB"/>
    <w:rsid w:val="00C34FD7"/>
    <w:rsid w:val="00C350A3"/>
    <w:rsid w:val="00C36865"/>
    <w:rsid w:val="00C368B2"/>
    <w:rsid w:val="00C36C2D"/>
    <w:rsid w:val="00C370DF"/>
    <w:rsid w:val="00C3767C"/>
    <w:rsid w:val="00C37C75"/>
    <w:rsid w:val="00C37E0C"/>
    <w:rsid w:val="00C4341D"/>
    <w:rsid w:val="00C4371D"/>
    <w:rsid w:val="00C441B9"/>
    <w:rsid w:val="00C4436E"/>
    <w:rsid w:val="00C44466"/>
    <w:rsid w:val="00C47279"/>
    <w:rsid w:val="00C503AF"/>
    <w:rsid w:val="00C50EB2"/>
    <w:rsid w:val="00C5288C"/>
    <w:rsid w:val="00C532AF"/>
    <w:rsid w:val="00C5399A"/>
    <w:rsid w:val="00C549AA"/>
    <w:rsid w:val="00C54E35"/>
    <w:rsid w:val="00C55D85"/>
    <w:rsid w:val="00C55FBA"/>
    <w:rsid w:val="00C56045"/>
    <w:rsid w:val="00C56849"/>
    <w:rsid w:val="00C61B40"/>
    <w:rsid w:val="00C62A72"/>
    <w:rsid w:val="00C62AAD"/>
    <w:rsid w:val="00C62DC0"/>
    <w:rsid w:val="00C64192"/>
    <w:rsid w:val="00C64F55"/>
    <w:rsid w:val="00C65088"/>
    <w:rsid w:val="00C6646F"/>
    <w:rsid w:val="00C66C94"/>
    <w:rsid w:val="00C70923"/>
    <w:rsid w:val="00C70A8F"/>
    <w:rsid w:val="00C7185D"/>
    <w:rsid w:val="00C73EB4"/>
    <w:rsid w:val="00C7403D"/>
    <w:rsid w:val="00C74D92"/>
    <w:rsid w:val="00C75EB7"/>
    <w:rsid w:val="00C764EE"/>
    <w:rsid w:val="00C76AB9"/>
    <w:rsid w:val="00C76DE1"/>
    <w:rsid w:val="00C84482"/>
    <w:rsid w:val="00C85167"/>
    <w:rsid w:val="00C913DF"/>
    <w:rsid w:val="00C922FD"/>
    <w:rsid w:val="00C93364"/>
    <w:rsid w:val="00C9392A"/>
    <w:rsid w:val="00C94170"/>
    <w:rsid w:val="00C948BC"/>
    <w:rsid w:val="00C95AAC"/>
    <w:rsid w:val="00C95EF2"/>
    <w:rsid w:val="00C95F09"/>
    <w:rsid w:val="00CA1161"/>
    <w:rsid w:val="00CA17BE"/>
    <w:rsid w:val="00CA1C59"/>
    <w:rsid w:val="00CA23A9"/>
    <w:rsid w:val="00CA50A6"/>
    <w:rsid w:val="00CA50D7"/>
    <w:rsid w:val="00CA6C7A"/>
    <w:rsid w:val="00CA7C3C"/>
    <w:rsid w:val="00CB0624"/>
    <w:rsid w:val="00CB0BFC"/>
    <w:rsid w:val="00CB162F"/>
    <w:rsid w:val="00CB4339"/>
    <w:rsid w:val="00CB5591"/>
    <w:rsid w:val="00CB5935"/>
    <w:rsid w:val="00CB6D61"/>
    <w:rsid w:val="00CC0890"/>
    <w:rsid w:val="00CC4E64"/>
    <w:rsid w:val="00CC5F45"/>
    <w:rsid w:val="00CD170C"/>
    <w:rsid w:val="00CD2EE4"/>
    <w:rsid w:val="00CD3075"/>
    <w:rsid w:val="00CD54B9"/>
    <w:rsid w:val="00CD671C"/>
    <w:rsid w:val="00CE035B"/>
    <w:rsid w:val="00CE257E"/>
    <w:rsid w:val="00CE41C8"/>
    <w:rsid w:val="00CE6694"/>
    <w:rsid w:val="00CE79E7"/>
    <w:rsid w:val="00CF0495"/>
    <w:rsid w:val="00CF1543"/>
    <w:rsid w:val="00CF16C9"/>
    <w:rsid w:val="00CF5334"/>
    <w:rsid w:val="00CF5EE5"/>
    <w:rsid w:val="00CF72CE"/>
    <w:rsid w:val="00CF749C"/>
    <w:rsid w:val="00D00298"/>
    <w:rsid w:val="00D00B9F"/>
    <w:rsid w:val="00D00D2F"/>
    <w:rsid w:val="00D03F98"/>
    <w:rsid w:val="00D047FB"/>
    <w:rsid w:val="00D0706E"/>
    <w:rsid w:val="00D07128"/>
    <w:rsid w:val="00D10180"/>
    <w:rsid w:val="00D10715"/>
    <w:rsid w:val="00D11746"/>
    <w:rsid w:val="00D124C3"/>
    <w:rsid w:val="00D13F9C"/>
    <w:rsid w:val="00D14684"/>
    <w:rsid w:val="00D14A39"/>
    <w:rsid w:val="00D14A97"/>
    <w:rsid w:val="00D1666B"/>
    <w:rsid w:val="00D16D78"/>
    <w:rsid w:val="00D175A2"/>
    <w:rsid w:val="00D17B23"/>
    <w:rsid w:val="00D215E0"/>
    <w:rsid w:val="00D21D8A"/>
    <w:rsid w:val="00D21E18"/>
    <w:rsid w:val="00D22B97"/>
    <w:rsid w:val="00D237F5"/>
    <w:rsid w:val="00D2529F"/>
    <w:rsid w:val="00D25729"/>
    <w:rsid w:val="00D264E0"/>
    <w:rsid w:val="00D2693D"/>
    <w:rsid w:val="00D311D8"/>
    <w:rsid w:val="00D31E3B"/>
    <w:rsid w:val="00D3239A"/>
    <w:rsid w:val="00D34F5D"/>
    <w:rsid w:val="00D362E2"/>
    <w:rsid w:val="00D36356"/>
    <w:rsid w:val="00D3731D"/>
    <w:rsid w:val="00D4141C"/>
    <w:rsid w:val="00D41F21"/>
    <w:rsid w:val="00D43177"/>
    <w:rsid w:val="00D43AD4"/>
    <w:rsid w:val="00D45057"/>
    <w:rsid w:val="00D4560D"/>
    <w:rsid w:val="00D45E51"/>
    <w:rsid w:val="00D45EB4"/>
    <w:rsid w:val="00D465B2"/>
    <w:rsid w:val="00D46A4D"/>
    <w:rsid w:val="00D46F7D"/>
    <w:rsid w:val="00D46FD5"/>
    <w:rsid w:val="00D478FB"/>
    <w:rsid w:val="00D50E5D"/>
    <w:rsid w:val="00D532FD"/>
    <w:rsid w:val="00D5528D"/>
    <w:rsid w:val="00D5612C"/>
    <w:rsid w:val="00D561F2"/>
    <w:rsid w:val="00D56AE5"/>
    <w:rsid w:val="00D57082"/>
    <w:rsid w:val="00D60B00"/>
    <w:rsid w:val="00D61208"/>
    <w:rsid w:val="00D626F1"/>
    <w:rsid w:val="00D628E0"/>
    <w:rsid w:val="00D65026"/>
    <w:rsid w:val="00D70EFF"/>
    <w:rsid w:val="00D717D8"/>
    <w:rsid w:val="00D72015"/>
    <w:rsid w:val="00D72A99"/>
    <w:rsid w:val="00D7590C"/>
    <w:rsid w:val="00D75ADA"/>
    <w:rsid w:val="00D76DB5"/>
    <w:rsid w:val="00D77911"/>
    <w:rsid w:val="00D80E3B"/>
    <w:rsid w:val="00D81354"/>
    <w:rsid w:val="00D81391"/>
    <w:rsid w:val="00D82004"/>
    <w:rsid w:val="00D83C6D"/>
    <w:rsid w:val="00D879EB"/>
    <w:rsid w:val="00D901B5"/>
    <w:rsid w:val="00D9074D"/>
    <w:rsid w:val="00D9257F"/>
    <w:rsid w:val="00D92925"/>
    <w:rsid w:val="00D92C95"/>
    <w:rsid w:val="00D938C5"/>
    <w:rsid w:val="00D93AE1"/>
    <w:rsid w:val="00D944D5"/>
    <w:rsid w:val="00D9601A"/>
    <w:rsid w:val="00D9683F"/>
    <w:rsid w:val="00D970B5"/>
    <w:rsid w:val="00DA04E5"/>
    <w:rsid w:val="00DA1004"/>
    <w:rsid w:val="00DA4FE7"/>
    <w:rsid w:val="00DB11C7"/>
    <w:rsid w:val="00DB154D"/>
    <w:rsid w:val="00DB1A89"/>
    <w:rsid w:val="00DB1DEF"/>
    <w:rsid w:val="00DB351F"/>
    <w:rsid w:val="00DB3DA7"/>
    <w:rsid w:val="00DB5049"/>
    <w:rsid w:val="00DB65BA"/>
    <w:rsid w:val="00DB6C02"/>
    <w:rsid w:val="00DC075C"/>
    <w:rsid w:val="00DC08B9"/>
    <w:rsid w:val="00DC1063"/>
    <w:rsid w:val="00DC1B9C"/>
    <w:rsid w:val="00DC1FA8"/>
    <w:rsid w:val="00DC313C"/>
    <w:rsid w:val="00DC4EDE"/>
    <w:rsid w:val="00DC520D"/>
    <w:rsid w:val="00DC5210"/>
    <w:rsid w:val="00DC56A7"/>
    <w:rsid w:val="00DC5730"/>
    <w:rsid w:val="00DC6F00"/>
    <w:rsid w:val="00DC7087"/>
    <w:rsid w:val="00DC79EE"/>
    <w:rsid w:val="00DC7EF5"/>
    <w:rsid w:val="00DD03C4"/>
    <w:rsid w:val="00DD141E"/>
    <w:rsid w:val="00DD1C15"/>
    <w:rsid w:val="00DD696A"/>
    <w:rsid w:val="00DD6FCF"/>
    <w:rsid w:val="00DE06D8"/>
    <w:rsid w:val="00DE1181"/>
    <w:rsid w:val="00DE3F47"/>
    <w:rsid w:val="00DE4EE8"/>
    <w:rsid w:val="00DE55E5"/>
    <w:rsid w:val="00DE57A2"/>
    <w:rsid w:val="00DE5F3B"/>
    <w:rsid w:val="00DE60B2"/>
    <w:rsid w:val="00DF0232"/>
    <w:rsid w:val="00DF1FD3"/>
    <w:rsid w:val="00DF27EC"/>
    <w:rsid w:val="00DF4E3F"/>
    <w:rsid w:val="00DF5296"/>
    <w:rsid w:val="00DF68E7"/>
    <w:rsid w:val="00E014CE"/>
    <w:rsid w:val="00E01F55"/>
    <w:rsid w:val="00E020DF"/>
    <w:rsid w:val="00E02359"/>
    <w:rsid w:val="00E03F30"/>
    <w:rsid w:val="00E05EC9"/>
    <w:rsid w:val="00E06C1E"/>
    <w:rsid w:val="00E0705D"/>
    <w:rsid w:val="00E07C72"/>
    <w:rsid w:val="00E102EB"/>
    <w:rsid w:val="00E11072"/>
    <w:rsid w:val="00E117F3"/>
    <w:rsid w:val="00E13527"/>
    <w:rsid w:val="00E138A2"/>
    <w:rsid w:val="00E13D74"/>
    <w:rsid w:val="00E149EB"/>
    <w:rsid w:val="00E1510C"/>
    <w:rsid w:val="00E16719"/>
    <w:rsid w:val="00E16E99"/>
    <w:rsid w:val="00E178A9"/>
    <w:rsid w:val="00E17E8A"/>
    <w:rsid w:val="00E20FBA"/>
    <w:rsid w:val="00E214F3"/>
    <w:rsid w:val="00E218CB"/>
    <w:rsid w:val="00E22721"/>
    <w:rsid w:val="00E25325"/>
    <w:rsid w:val="00E259B5"/>
    <w:rsid w:val="00E27140"/>
    <w:rsid w:val="00E271F9"/>
    <w:rsid w:val="00E274EE"/>
    <w:rsid w:val="00E31A46"/>
    <w:rsid w:val="00E324DA"/>
    <w:rsid w:val="00E3698C"/>
    <w:rsid w:val="00E372C9"/>
    <w:rsid w:val="00E37EDA"/>
    <w:rsid w:val="00E4070D"/>
    <w:rsid w:val="00E4101D"/>
    <w:rsid w:val="00E41621"/>
    <w:rsid w:val="00E41FFB"/>
    <w:rsid w:val="00E43941"/>
    <w:rsid w:val="00E43B3B"/>
    <w:rsid w:val="00E44F98"/>
    <w:rsid w:val="00E45590"/>
    <w:rsid w:val="00E469DB"/>
    <w:rsid w:val="00E4749F"/>
    <w:rsid w:val="00E47A1A"/>
    <w:rsid w:val="00E50E7A"/>
    <w:rsid w:val="00E53176"/>
    <w:rsid w:val="00E536F3"/>
    <w:rsid w:val="00E54670"/>
    <w:rsid w:val="00E6003E"/>
    <w:rsid w:val="00E62B0D"/>
    <w:rsid w:val="00E657B6"/>
    <w:rsid w:val="00E661CB"/>
    <w:rsid w:val="00E66245"/>
    <w:rsid w:val="00E66C6F"/>
    <w:rsid w:val="00E66DAF"/>
    <w:rsid w:val="00E7045C"/>
    <w:rsid w:val="00E70EAF"/>
    <w:rsid w:val="00E71455"/>
    <w:rsid w:val="00E71762"/>
    <w:rsid w:val="00E725A5"/>
    <w:rsid w:val="00E728A0"/>
    <w:rsid w:val="00E72A21"/>
    <w:rsid w:val="00E73EC7"/>
    <w:rsid w:val="00E7423A"/>
    <w:rsid w:val="00E75632"/>
    <w:rsid w:val="00E75837"/>
    <w:rsid w:val="00E75B12"/>
    <w:rsid w:val="00E76BAA"/>
    <w:rsid w:val="00E803AA"/>
    <w:rsid w:val="00E80722"/>
    <w:rsid w:val="00E80D82"/>
    <w:rsid w:val="00E8296F"/>
    <w:rsid w:val="00E82E6B"/>
    <w:rsid w:val="00E831E5"/>
    <w:rsid w:val="00E846E5"/>
    <w:rsid w:val="00E84A9E"/>
    <w:rsid w:val="00E84F10"/>
    <w:rsid w:val="00E84F7F"/>
    <w:rsid w:val="00E868EE"/>
    <w:rsid w:val="00E86F99"/>
    <w:rsid w:val="00E900BC"/>
    <w:rsid w:val="00E905DB"/>
    <w:rsid w:val="00E9103E"/>
    <w:rsid w:val="00E922C6"/>
    <w:rsid w:val="00E93A4A"/>
    <w:rsid w:val="00E9472D"/>
    <w:rsid w:val="00E96618"/>
    <w:rsid w:val="00E966F1"/>
    <w:rsid w:val="00E96BBD"/>
    <w:rsid w:val="00E96CCE"/>
    <w:rsid w:val="00E96E60"/>
    <w:rsid w:val="00EA20E0"/>
    <w:rsid w:val="00EA2D39"/>
    <w:rsid w:val="00EA2D75"/>
    <w:rsid w:val="00EA2DCD"/>
    <w:rsid w:val="00EA31E5"/>
    <w:rsid w:val="00EA37E7"/>
    <w:rsid w:val="00EA489C"/>
    <w:rsid w:val="00EA49BA"/>
    <w:rsid w:val="00EA4EF5"/>
    <w:rsid w:val="00EA5C61"/>
    <w:rsid w:val="00EA5CE6"/>
    <w:rsid w:val="00EB0050"/>
    <w:rsid w:val="00EB1AFC"/>
    <w:rsid w:val="00EB2AB4"/>
    <w:rsid w:val="00EB3E8F"/>
    <w:rsid w:val="00EB40DE"/>
    <w:rsid w:val="00EB6537"/>
    <w:rsid w:val="00EB6BA5"/>
    <w:rsid w:val="00EB6F4C"/>
    <w:rsid w:val="00EC039B"/>
    <w:rsid w:val="00EC36AE"/>
    <w:rsid w:val="00EC484E"/>
    <w:rsid w:val="00EC4A6D"/>
    <w:rsid w:val="00EC59A0"/>
    <w:rsid w:val="00EC6925"/>
    <w:rsid w:val="00EC6AE0"/>
    <w:rsid w:val="00EC6B51"/>
    <w:rsid w:val="00EC6FFD"/>
    <w:rsid w:val="00EC7323"/>
    <w:rsid w:val="00EC7BF5"/>
    <w:rsid w:val="00ED1273"/>
    <w:rsid w:val="00ED19CB"/>
    <w:rsid w:val="00ED1AB1"/>
    <w:rsid w:val="00ED22E7"/>
    <w:rsid w:val="00ED3847"/>
    <w:rsid w:val="00ED4059"/>
    <w:rsid w:val="00ED46B0"/>
    <w:rsid w:val="00ED4E2F"/>
    <w:rsid w:val="00ED59B4"/>
    <w:rsid w:val="00ED5BB5"/>
    <w:rsid w:val="00ED6B39"/>
    <w:rsid w:val="00ED6E93"/>
    <w:rsid w:val="00ED79EF"/>
    <w:rsid w:val="00EE39AB"/>
    <w:rsid w:val="00EE41B7"/>
    <w:rsid w:val="00EE58BD"/>
    <w:rsid w:val="00EE7035"/>
    <w:rsid w:val="00EE75F7"/>
    <w:rsid w:val="00EF117A"/>
    <w:rsid w:val="00EF332D"/>
    <w:rsid w:val="00EF3E4E"/>
    <w:rsid w:val="00EF4372"/>
    <w:rsid w:val="00EF5808"/>
    <w:rsid w:val="00EF5D4A"/>
    <w:rsid w:val="00EF64C5"/>
    <w:rsid w:val="00EF7A42"/>
    <w:rsid w:val="00F00A05"/>
    <w:rsid w:val="00F0155E"/>
    <w:rsid w:val="00F01ED6"/>
    <w:rsid w:val="00F047C5"/>
    <w:rsid w:val="00F05468"/>
    <w:rsid w:val="00F0598D"/>
    <w:rsid w:val="00F05F9C"/>
    <w:rsid w:val="00F0699B"/>
    <w:rsid w:val="00F07A6C"/>
    <w:rsid w:val="00F1022B"/>
    <w:rsid w:val="00F104AC"/>
    <w:rsid w:val="00F113D2"/>
    <w:rsid w:val="00F11408"/>
    <w:rsid w:val="00F114E8"/>
    <w:rsid w:val="00F11A9A"/>
    <w:rsid w:val="00F122C4"/>
    <w:rsid w:val="00F16D56"/>
    <w:rsid w:val="00F16EFC"/>
    <w:rsid w:val="00F20218"/>
    <w:rsid w:val="00F20822"/>
    <w:rsid w:val="00F20BBF"/>
    <w:rsid w:val="00F21069"/>
    <w:rsid w:val="00F21D9C"/>
    <w:rsid w:val="00F22C5D"/>
    <w:rsid w:val="00F23210"/>
    <w:rsid w:val="00F23316"/>
    <w:rsid w:val="00F236C1"/>
    <w:rsid w:val="00F240DB"/>
    <w:rsid w:val="00F2655B"/>
    <w:rsid w:val="00F306F2"/>
    <w:rsid w:val="00F3163C"/>
    <w:rsid w:val="00F3192C"/>
    <w:rsid w:val="00F31D36"/>
    <w:rsid w:val="00F31DB7"/>
    <w:rsid w:val="00F32156"/>
    <w:rsid w:val="00F328DD"/>
    <w:rsid w:val="00F34D01"/>
    <w:rsid w:val="00F35DE7"/>
    <w:rsid w:val="00F37AA8"/>
    <w:rsid w:val="00F423D5"/>
    <w:rsid w:val="00F426A6"/>
    <w:rsid w:val="00F4282C"/>
    <w:rsid w:val="00F47312"/>
    <w:rsid w:val="00F473F6"/>
    <w:rsid w:val="00F509FD"/>
    <w:rsid w:val="00F51B40"/>
    <w:rsid w:val="00F531D9"/>
    <w:rsid w:val="00F53AAE"/>
    <w:rsid w:val="00F543E0"/>
    <w:rsid w:val="00F556D3"/>
    <w:rsid w:val="00F556EA"/>
    <w:rsid w:val="00F55C99"/>
    <w:rsid w:val="00F55CA4"/>
    <w:rsid w:val="00F604FA"/>
    <w:rsid w:val="00F60E0F"/>
    <w:rsid w:val="00F61B3B"/>
    <w:rsid w:val="00F61D6C"/>
    <w:rsid w:val="00F62305"/>
    <w:rsid w:val="00F63A0D"/>
    <w:rsid w:val="00F65055"/>
    <w:rsid w:val="00F70103"/>
    <w:rsid w:val="00F7097D"/>
    <w:rsid w:val="00F717BD"/>
    <w:rsid w:val="00F71960"/>
    <w:rsid w:val="00F71EBE"/>
    <w:rsid w:val="00F729B1"/>
    <w:rsid w:val="00F734FA"/>
    <w:rsid w:val="00F741AC"/>
    <w:rsid w:val="00F7592B"/>
    <w:rsid w:val="00F77C07"/>
    <w:rsid w:val="00F811D7"/>
    <w:rsid w:val="00F814E0"/>
    <w:rsid w:val="00F82560"/>
    <w:rsid w:val="00F82D33"/>
    <w:rsid w:val="00F8455B"/>
    <w:rsid w:val="00F85E44"/>
    <w:rsid w:val="00F8634F"/>
    <w:rsid w:val="00F8665F"/>
    <w:rsid w:val="00F9019F"/>
    <w:rsid w:val="00F92E64"/>
    <w:rsid w:val="00F939E1"/>
    <w:rsid w:val="00F94196"/>
    <w:rsid w:val="00F95324"/>
    <w:rsid w:val="00F970BB"/>
    <w:rsid w:val="00FA3267"/>
    <w:rsid w:val="00FA3F79"/>
    <w:rsid w:val="00FA4205"/>
    <w:rsid w:val="00FA4E1E"/>
    <w:rsid w:val="00FA6998"/>
    <w:rsid w:val="00FA6C7F"/>
    <w:rsid w:val="00FA6F39"/>
    <w:rsid w:val="00FA7F65"/>
    <w:rsid w:val="00FB044F"/>
    <w:rsid w:val="00FB0FF9"/>
    <w:rsid w:val="00FB1C64"/>
    <w:rsid w:val="00FB251D"/>
    <w:rsid w:val="00FB2E06"/>
    <w:rsid w:val="00FB3984"/>
    <w:rsid w:val="00FB3E9F"/>
    <w:rsid w:val="00FB55B8"/>
    <w:rsid w:val="00FB5D61"/>
    <w:rsid w:val="00FB5FBE"/>
    <w:rsid w:val="00FB6C47"/>
    <w:rsid w:val="00FB71BC"/>
    <w:rsid w:val="00FB7665"/>
    <w:rsid w:val="00FB788D"/>
    <w:rsid w:val="00FB7EE0"/>
    <w:rsid w:val="00FB7FD4"/>
    <w:rsid w:val="00FC05A3"/>
    <w:rsid w:val="00FC1DB3"/>
    <w:rsid w:val="00FC2060"/>
    <w:rsid w:val="00FC3C72"/>
    <w:rsid w:val="00FC5038"/>
    <w:rsid w:val="00FC69A7"/>
    <w:rsid w:val="00FC7E2B"/>
    <w:rsid w:val="00FD08FF"/>
    <w:rsid w:val="00FD1998"/>
    <w:rsid w:val="00FD1DAC"/>
    <w:rsid w:val="00FD2284"/>
    <w:rsid w:val="00FD2B67"/>
    <w:rsid w:val="00FD2EE1"/>
    <w:rsid w:val="00FD30CB"/>
    <w:rsid w:val="00FD3F6A"/>
    <w:rsid w:val="00FD401D"/>
    <w:rsid w:val="00FD40CD"/>
    <w:rsid w:val="00FD4CA9"/>
    <w:rsid w:val="00FD4F98"/>
    <w:rsid w:val="00FD75F1"/>
    <w:rsid w:val="00FE0499"/>
    <w:rsid w:val="00FE0559"/>
    <w:rsid w:val="00FE2806"/>
    <w:rsid w:val="00FE28BD"/>
    <w:rsid w:val="00FE29D3"/>
    <w:rsid w:val="00FE456A"/>
    <w:rsid w:val="00FE485E"/>
    <w:rsid w:val="00FE5F3D"/>
    <w:rsid w:val="00FE68D7"/>
    <w:rsid w:val="00FE7353"/>
    <w:rsid w:val="00FE74E2"/>
    <w:rsid w:val="00FE7714"/>
    <w:rsid w:val="00FE7C29"/>
    <w:rsid w:val="00FE7E20"/>
    <w:rsid w:val="00FE7FBD"/>
    <w:rsid w:val="00FF0B0A"/>
    <w:rsid w:val="00FF230F"/>
    <w:rsid w:val="00FF53F8"/>
    <w:rsid w:val="00FF775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6B0FC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005B"/>
    <w:pPr>
      <w:overflowPunct w:val="0"/>
      <w:autoSpaceDE w:val="0"/>
      <w:autoSpaceDN w:val="0"/>
      <w:adjustRightInd w:val="0"/>
      <w:spacing w:after="180"/>
      <w:jc w:val="both"/>
      <w:textAlignment w:val="baseline"/>
    </w:pPr>
  </w:style>
  <w:style w:type="paragraph" w:styleId="Heading1">
    <w:name w:val="heading 1"/>
    <w:next w:val="Normal"/>
    <w:link w:val="Heading1Char"/>
    <w:qFormat/>
    <w:rsid w:val="004740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7408E"/>
    <w:pPr>
      <w:pBdr>
        <w:top w:val="none" w:sz="0" w:space="0" w:color="auto"/>
      </w:pBdr>
      <w:spacing w:before="180"/>
      <w:outlineLvl w:val="1"/>
    </w:pPr>
    <w:rPr>
      <w:sz w:val="32"/>
    </w:rPr>
  </w:style>
  <w:style w:type="paragraph" w:styleId="Heading3">
    <w:name w:val="heading 3"/>
    <w:basedOn w:val="Heading2"/>
    <w:next w:val="Normal"/>
    <w:link w:val="Heading3Char"/>
    <w:qFormat/>
    <w:rsid w:val="0047408E"/>
    <w:pPr>
      <w:spacing w:before="120"/>
      <w:outlineLvl w:val="2"/>
    </w:pPr>
    <w:rPr>
      <w:sz w:val="28"/>
    </w:rPr>
  </w:style>
  <w:style w:type="paragraph" w:styleId="Heading4">
    <w:name w:val="heading 4"/>
    <w:basedOn w:val="Heading3"/>
    <w:next w:val="Normal"/>
    <w:link w:val="Heading4Char"/>
    <w:qFormat/>
    <w:rsid w:val="0047408E"/>
    <w:pPr>
      <w:ind w:left="1418" w:hanging="1418"/>
      <w:outlineLvl w:val="3"/>
    </w:pPr>
    <w:rPr>
      <w:sz w:val="24"/>
    </w:rPr>
  </w:style>
  <w:style w:type="paragraph" w:styleId="Heading5">
    <w:name w:val="heading 5"/>
    <w:basedOn w:val="Heading4"/>
    <w:next w:val="Normal"/>
    <w:link w:val="Heading5Char"/>
    <w:qFormat/>
    <w:rsid w:val="0047408E"/>
    <w:pPr>
      <w:ind w:left="1701" w:hanging="1701"/>
      <w:outlineLvl w:val="4"/>
    </w:pPr>
    <w:rPr>
      <w:sz w:val="22"/>
    </w:rPr>
  </w:style>
  <w:style w:type="paragraph" w:styleId="Heading6">
    <w:name w:val="heading 6"/>
    <w:basedOn w:val="Normal"/>
    <w:next w:val="Normal"/>
    <w:link w:val="Heading6Char"/>
    <w:qFormat/>
    <w:rsid w:val="0047408E"/>
    <w:pPr>
      <w:keepNext/>
      <w:keepLines/>
      <w:spacing w:before="120"/>
      <w:ind w:left="1985" w:hanging="1985"/>
      <w:outlineLvl w:val="5"/>
    </w:pPr>
  </w:style>
  <w:style w:type="paragraph" w:styleId="Heading7">
    <w:name w:val="heading 7"/>
    <w:basedOn w:val="Normal"/>
    <w:next w:val="Normal"/>
    <w:link w:val="Heading7Char"/>
    <w:qFormat/>
    <w:rsid w:val="0047408E"/>
    <w:pPr>
      <w:keepNext/>
      <w:keepLines/>
      <w:spacing w:before="120"/>
      <w:ind w:left="1985" w:hanging="1985"/>
      <w:outlineLvl w:val="6"/>
    </w:pPr>
  </w:style>
  <w:style w:type="paragraph" w:styleId="Heading8">
    <w:name w:val="heading 8"/>
    <w:basedOn w:val="Heading1"/>
    <w:next w:val="Normal"/>
    <w:link w:val="Heading8Char"/>
    <w:qFormat/>
    <w:rsid w:val="0047408E"/>
    <w:pPr>
      <w:ind w:left="0" w:firstLine="0"/>
      <w:outlineLvl w:val="7"/>
    </w:pPr>
  </w:style>
  <w:style w:type="paragraph" w:styleId="Heading9">
    <w:name w:val="heading 9"/>
    <w:basedOn w:val="Heading8"/>
    <w:next w:val="Normal"/>
    <w:link w:val="Heading9Char"/>
    <w:qFormat/>
    <w:rsid w:val="0047408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7408E"/>
    <w:rPr>
      <w:rFonts w:ascii="Arial" w:hAnsi="Arial"/>
      <w:sz w:val="36"/>
    </w:rPr>
  </w:style>
  <w:style w:type="character" w:customStyle="1" w:styleId="Heading2Char">
    <w:name w:val="Heading 2 Char"/>
    <w:basedOn w:val="DefaultParagraphFont"/>
    <w:link w:val="Heading2"/>
    <w:rsid w:val="0047408E"/>
    <w:rPr>
      <w:rFonts w:ascii="Arial" w:hAnsi="Arial"/>
      <w:sz w:val="32"/>
    </w:rPr>
  </w:style>
  <w:style w:type="character" w:customStyle="1" w:styleId="Heading3Char">
    <w:name w:val="Heading 3 Char"/>
    <w:basedOn w:val="DefaultParagraphFont"/>
    <w:link w:val="Heading3"/>
    <w:rsid w:val="0047408E"/>
    <w:rPr>
      <w:rFonts w:ascii="Arial" w:hAnsi="Arial"/>
      <w:sz w:val="28"/>
    </w:rPr>
  </w:style>
  <w:style w:type="character" w:customStyle="1" w:styleId="Heading4Char">
    <w:name w:val="Heading 4 Char"/>
    <w:basedOn w:val="DefaultParagraphFont"/>
    <w:link w:val="Heading4"/>
    <w:rsid w:val="0047408E"/>
    <w:rPr>
      <w:rFonts w:ascii="Arial" w:hAnsi="Arial"/>
      <w:sz w:val="24"/>
    </w:rPr>
  </w:style>
  <w:style w:type="character" w:customStyle="1" w:styleId="Heading5Char">
    <w:name w:val="Heading 5 Char"/>
    <w:basedOn w:val="DefaultParagraphFont"/>
    <w:link w:val="Heading5"/>
    <w:rsid w:val="0047408E"/>
    <w:rPr>
      <w:rFonts w:ascii="Arial" w:hAnsi="Arial"/>
      <w:sz w:val="22"/>
    </w:rPr>
  </w:style>
  <w:style w:type="character" w:customStyle="1" w:styleId="Heading6Char">
    <w:name w:val="Heading 6 Char"/>
    <w:basedOn w:val="DefaultParagraphFont"/>
    <w:link w:val="Heading6"/>
    <w:rsid w:val="0047408E"/>
    <w:rPr>
      <w:rFonts w:ascii="Arial" w:hAnsi="Arial"/>
    </w:rPr>
  </w:style>
  <w:style w:type="character" w:customStyle="1" w:styleId="Heading7Char">
    <w:name w:val="Heading 7 Char"/>
    <w:basedOn w:val="DefaultParagraphFont"/>
    <w:link w:val="Heading7"/>
    <w:rsid w:val="0047408E"/>
    <w:rPr>
      <w:rFonts w:ascii="Arial" w:hAnsi="Arial"/>
    </w:rPr>
  </w:style>
  <w:style w:type="character" w:customStyle="1" w:styleId="Heading8Char">
    <w:name w:val="Heading 8 Char"/>
    <w:basedOn w:val="DefaultParagraphFont"/>
    <w:link w:val="Heading8"/>
    <w:rsid w:val="0047408E"/>
    <w:rPr>
      <w:rFonts w:ascii="Arial" w:hAnsi="Arial"/>
      <w:sz w:val="36"/>
    </w:rPr>
  </w:style>
  <w:style w:type="character" w:customStyle="1" w:styleId="Heading9Char">
    <w:name w:val="Heading 9 Char"/>
    <w:basedOn w:val="DefaultParagraphFont"/>
    <w:link w:val="Heading9"/>
    <w:rsid w:val="0047408E"/>
    <w:rPr>
      <w:rFonts w:ascii="Arial" w:hAnsi="Arial"/>
      <w:sz w:val="36"/>
    </w:rPr>
  </w:style>
  <w:style w:type="paragraph" w:styleId="Caption">
    <w:name w:val="caption"/>
    <w:basedOn w:val="Normal"/>
    <w:next w:val="Normal"/>
    <w:qFormat/>
    <w:rsid w:val="0047408E"/>
    <w:pPr>
      <w:spacing w:before="120" w:after="120"/>
    </w:pPr>
    <w:rPr>
      <w:b/>
    </w:rPr>
  </w:style>
  <w:style w:type="paragraph" w:styleId="Header">
    <w:name w:val="header"/>
    <w:aliases w:val="header odd"/>
    <w:link w:val="HeaderChar"/>
    <w:rsid w:val="0047408E"/>
    <w:pPr>
      <w:widowControl w:val="0"/>
    </w:pPr>
    <w:rPr>
      <w:rFonts w:ascii="Arial" w:hAnsi="Arial"/>
      <w:b/>
      <w:noProof/>
      <w:sz w:val="18"/>
    </w:rPr>
  </w:style>
  <w:style w:type="character" w:customStyle="1" w:styleId="HeaderChar">
    <w:name w:val="Header Char"/>
    <w:aliases w:val="header odd Char"/>
    <w:basedOn w:val="DefaultParagraphFont"/>
    <w:link w:val="Header"/>
    <w:rsid w:val="0047408E"/>
    <w:rPr>
      <w:rFonts w:ascii="Arial" w:hAnsi="Arial"/>
      <w:b/>
      <w:noProof/>
      <w:sz w:val="18"/>
    </w:rPr>
  </w:style>
  <w:style w:type="paragraph" w:customStyle="1" w:styleId="CRCoverPage">
    <w:name w:val="CR Cover Page"/>
    <w:rsid w:val="0047408E"/>
    <w:pPr>
      <w:spacing w:after="120"/>
    </w:pPr>
    <w:rPr>
      <w:rFonts w:ascii="Arial" w:hAnsi="Arial"/>
    </w:rPr>
  </w:style>
  <w:style w:type="character" w:styleId="CommentReference">
    <w:name w:val="annotation reference"/>
    <w:semiHidden/>
    <w:rsid w:val="0047408E"/>
    <w:rPr>
      <w:sz w:val="16"/>
    </w:rPr>
  </w:style>
  <w:style w:type="paragraph" w:styleId="CommentText">
    <w:name w:val="annotation text"/>
    <w:basedOn w:val="Normal"/>
    <w:link w:val="CommentTextChar"/>
    <w:rsid w:val="0047408E"/>
    <w:rPr>
      <w:lang w:val="en-US"/>
    </w:rPr>
  </w:style>
  <w:style w:type="character" w:customStyle="1" w:styleId="CommentTextChar">
    <w:name w:val="Comment Text Char"/>
    <w:basedOn w:val="DefaultParagraphFont"/>
    <w:link w:val="CommentText"/>
    <w:rsid w:val="0047408E"/>
    <w:rPr>
      <w:lang w:val="en-US"/>
    </w:rPr>
  </w:style>
  <w:style w:type="paragraph" w:styleId="BalloonText">
    <w:name w:val="Balloon Text"/>
    <w:basedOn w:val="Normal"/>
    <w:link w:val="BalloonTextChar"/>
    <w:uiPriority w:val="99"/>
    <w:semiHidden/>
    <w:unhideWhenUsed/>
    <w:rsid w:val="0047408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408E"/>
    <w:rPr>
      <w:rFonts w:ascii="Segoe UI" w:hAnsi="Segoe UI" w:cs="Segoe UI"/>
      <w:sz w:val="18"/>
      <w:szCs w:val="18"/>
    </w:rPr>
  </w:style>
  <w:style w:type="paragraph" w:styleId="ListParagraph">
    <w:name w:val="List Paragraph"/>
    <w:basedOn w:val="Normal"/>
    <w:link w:val="ListParagraphChar"/>
    <w:uiPriority w:val="34"/>
    <w:qFormat/>
    <w:rsid w:val="00700F9C"/>
    <w:pPr>
      <w:ind w:left="720"/>
      <w:contextualSpacing/>
    </w:pPr>
  </w:style>
  <w:style w:type="paragraph" w:styleId="Footer">
    <w:name w:val="footer"/>
    <w:basedOn w:val="Normal"/>
    <w:link w:val="FooterChar"/>
    <w:uiPriority w:val="99"/>
    <w:unhideWhenUsed/>
    <w:rsid w:val="00BD754F"/>
    <w:pPr>
      <w:tabs>
        <w:tab w:val="center" w:pos="4513"/>
        <w:tab w:val="right" w:pos="9026"/>
      </w:tabs>
      <w:spacing w:after="0"/>
    </w:pPr>
  </w:style>
  <w:style w:type="character" w:customStyle="1" w:styleId="FooterChar">
    <w:name w:val="Footer Char"/>
    <w:basedOn w:val="DefaultParagraphFont"/>
    <w:link w:val="Footer"/>
    <w:uiPriority w:val="99"/>
    <w:rsid w:val="00BD754F"/>
    <w:rPr>
      <w:rFonts w:ascii="Arial" w:hAnsi="Arial"/>
    </w:rPr>
  </w:style>
  <w:style w:type="paragraph" w:styleId="CommentSubject">
    <w:name w:val="annotation subject"/>
    <w:basedOn w:val="CommentText"/>
    <w:next w:val="CommentText"/>
    <w:link w:val="CommentSubjectChar"/>
    <w:uiPriority w:val="99"/>
    <w:semiHidden/>
    <w:unhideWhenUsed/>
    <w:rsid w:val="00703589"/>
    <w:rPr>
      <w:b/>
      <w:bCs/>
      <w:lang w:val="en-GB"/>
    </w:rPr>
  </w:style>
  <w:style w:type="character" w:customStyle="1" w:styleId="CommentSubjectChar">
    <w:name w:val="Comment Subject Char"/>
    <w:basedOn w:val="CommentTextChar"/>
    <w:link w:val="CommentSubject"/>
    <w:uiPriority w:val="99"/>
    <w:semiHidden/>
    <w:rsid w:val="00703589"/>
    <w:rPr>
      <w:rFonts w:ascii="Arial" w:hAnsi="Arial"/>
      <w:b/>
      <w:bCs/>
      <w:lang w:val="en-US"/>
    </w:rPr>
  </w:style>
  <w:style w:type="paragraph" w:customStyle="1" w:styleId="B4">
    <w:name w:val="B4"/>
    <w:basedOn w:val="List4"/>
    <w:link w:val="B4Char"/>
    <w:rsid w:val="00785999"/>
    <w:pPr>
      <w:overflowPunct/>
      <w:autoSpaceDE/>
      <w:autoSpaceDN/>
      <w:adjustRightInd/>
      <w:ind w:left="1418" w:hanging="284"/>
      <w:contextualSpacing w:val="0"/>
      <w:jc w:val="left"/>
      <w:textAlignment w:val="auto"/>
    </w:pPr>
    <w:rPr>
      <w:rFonts w:eastAsia="Malgun Gothic"/>
    </w:rPr>
  </w:style>
  <w:style w:type="character" w:customStyle="1" w:styleId="B4Char">
    <w:name w:val="B4 Char"/>
    <w:link w:val="B4"/>
    <w:rsid w:val="00785999"/>
    <w:rPr>
      <w:rFonts w:eastAsia="Malgun Gothic"/>
    </w:rPr>
  </w:style>
  <w:style w:type="paragraph" w:styleId="List4">
    <w:name w:val="List 4"/>
    <w:basedOn w:val="Normal"/>
    <w:uiPriority w:val="99"/>
    <w:semiHidden/>
    <w:unhideWhenUsed/>
    <w:rsid w:val="00785999"/>
    <w:pPr>
      <w:ind w:left="1132" w:hanging="283"/>
      <w:contextualSpacing/>
    </w:pPr>
  </w:style>
  <w:style w:type="paragraph" w:customStyle="1" w:styleId="B3">
    <w:name w:val="B3"/>
    <w:basedOn w:val="List3"/>
    <w:link w:val="B3Char"/>
    <w:rsid w:val="00785999"/>
    <w:pPr>
      <w:overflowPunct/>
      <w:autoSpaceDE/>
      <w:autoSpaceDN/>
      <w:adjustRightInd/>
      <w:ind w:left="1135" w:hanging="284"/>
      <w:contextualSpacing w:val="0"/>
      <w:jc w:val="left"/>
      <w:textAlignment w:val="auto"/>
    </w:pPr>
    <w:rPr>
      <w:rFonts w:eastAsia="Malgun Gothic"/>
    </w:rPr>
  </w:style>
  <w:style w:type="character" w:customStyle="1" w:styleId="B3Char">
    <w:name w:val="B3 Char"/>
    <w:link w:val="B3"/>
    <w:rsid w:val="00785999"/>
    <w:rPr>
      <w:rFonts w:eastAsia="Malgun Gothic"/>
    </w:rPr>
  </w:style>
  <w:style w:type="paragraph" w:styleId="List3">
    <w:name w:val="List 3"/>
    <w:basedOn w:val="Normal"/>
    <w:uiPriority w:val="99"/>
    <w:semiHidden/>
    <w:unhideWhenUsed/>
    <w:rsid w:val="00785999"/>
    <w:pPr>
      <w:ind w:left="849" w:hanging="283"/>
      <w:contextualSpacing/>
    </w:pPr>
  </w:style>
  <w:style w:type="paragraph" w:customStyle="1" w:styleId="Doc-text2">
    <w:name w:val="Doc-text2"/>
    <w:basedOn w:val="Normal"/>
    <w:link w:val="Doc-text2Char"/>
    <w:qFormat/>
    <w:rsid w:val="009510F5"/>
    <w:pPr>
      <w:tabs>
        <w:tab w:val="left" w:pos="1622"/>
      </w:tabs>
      <w:spacing w:after="0"/>
      <w:ind w:left="1622" w:hanging="363"/>
      <w:jc w:val="left"/>
    </w:pPr>
    <w:rPr>
      <w:rFonts w:eastAsia="MS Mincho"/>
      <w:szCs w:val="24"/>
      <w:lang w:val="x-none" w:eastAsia="en-GB"/>
    </w:rPr>
  </w:style>
  <w:style w:type="character" w:customStyle="1" w:styleId="Doc-text2Char">
    <w:name w:val="Doc-text2 Char"/>
    <w:link w:val="Doc-text2"/>
    <w:qFormat/>
    <w:rsid w:val="009510F5"/>
    <w:rPr>
      <w:rFonts w:ascii="Arial" w:eastAsia="MS Mincho" w:hAnsi="Arial"/>
      <w:szCs w:val="24"/>
      <w:lang w:val="x-none" w:eastAsia="en-GB"/>
    </w:rPr>
  </w:style>
  <w:style w:type="paragraph" w:customStyle="1" w:styleId="TF">
    <w:name w:val="TF"/>
    <w:basedOn w:val="TH"/>
    <w:link w:val="TFChar"/>
    <w:rsid w:val="00075861"/>
    <w:pPr>
      <w:keepNext w:val="0"/>
      <w:spacing w:before="0" w:after="240"/>
    </w:pPr>
  </w:style>
  <w:style w:type="paragraph" w:customStyle="1" w:styleId="TH">
    <w:name w:val="TH"/>
    <w:basedOn w:val="Normal"/>
    <w:link w:val="THChar"/>
    <w:rsid w:val="00075861"/>
    <w:pPr>
      <w:keepNext/>
      <w:keepLines/>
      <w:overflowPunct/>
      <w:autoSpaceDE/>
      <w:autoSpaceDN/>
      <w:adjustRightInd/>
      <w:spacing w:before="60"/>
      <w:jc w:val="center"/>
      <w:textAlignment w:val="auto"/>
    </w:pPr>
    <w:rPr>
      <w:rFonts w:eastAsia="Malgun Gothic"/>
      <w:b/>
    </w:rPr>
  </w:style>
  <w:style w:type="character" w:customStyle="1" w:styleId="THChar">
    <w:name w:val="TH Char"/>
    <w:link w:val="TH"/>
    <w:rsid w:val="00075861"/>
    <w:rPr>
      <w:rFonts w:ascii="Arial" w:eastAsia="Malgun Gothic" w:hAnsi="Arial"/>
      <w:b/>
    </w:rPr>
  </w:style>
  <w:style w:type="character" w:customStyle="1" w:styleId="TFChar">
    <w:name w:val="TF Char"/>
    <w:link w:val="TF"/>
    <w:rsid w:val="00075861"/>
    <w:rPr>
      <w:rFonts w:ascii="Arial" w:eastAsia="Malgun Gothic" w:hAnsi="Arial"/>
      <w:b/>
    </w:rPr>
  </w:style>
  <w:style w:type="paragraph" w:customStyle="1" w:styleId="B1">
    <w:name w:val="B1"/>
    <w:basedOn w:val="List"/>
    <w:link w:val="B1Char"/>
    <w:qFormat/>
    <w:rsid w:val="00783B45"/>
    <w:pPr>
      <w:overflowPunct/>
      <w:autoSpaceDE/>
      <w:autoSpaceDN/>
      <w:adjustRightInd/>
      <w:ind w:left="568" w:hanging="284"/>
      <w:contextualSpacing w:val="0"/>
      <w:jc w:val="left"/>
      <w:textAlignment w:val="auto"/>
    </w:pPr>
    <w:rPr>
      <w:rFonts w:eastAsia="Malgun Gothic"/>
    </w:rPr>
  </w:style>
  <w:style w:type="character" w:customStyle="1" w:styleId="B1Char">
    <w:name w:val="B1 Char"/>
    <w:link w:val="B1"/>
    <w:rsid w:val="00783B45"/>
    <w:rPr>
      <w:rFonts w:eastAsia="Malgun Gothic"/>
    </w:rPr>
  </w:style>
  <w:style w:type="paragraph" w:styleId="List">
    <w:name w:val="List"/>
    <w:basedOn w:val="Normal"/>
    <w:uiPriority w:val="99"/>
    <w:semiHidden/>
    <w:unhideWhenUsed/>
    <w:rsid w:val="00783B45"/>
    <w:pPr>
      <w:ind w:left="283" w:hanging="283"/>
      <w:contextualSpacing/>
    </w:pPr>
  </w:style>
  <w:style w:type="character" w:customStyle="1" w:styleId="B1Zchn">
    <w:name w:val="B1 Zchn"/>
    <w:rsid w:val="0011418A"/>
  </w:style>
  <w:style w:type="paragraph" w:customStyle="1" w:styleId="PL">
    <w:name w:val="PL"/>
    <w:link w:val="PLChar"/>
    <w:qFormat/>
    <w:rsid w:val="00BE5C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BE5C79"/>
    <w:rPr>
      <w:rFonts w:ascii="Courier New" w:eastAsia="Batang" w:hAnsi="Courier New"/>
      <w:noProof/>
      <w:sz w:val="16"/>
      <w:shd w:val="clear" w:color="auto" w:fill="E6E6E6"/>
      <w:lang w:eastAsia="sv-SE"/>
    </w:rPr>
  </w:style>
  <w:style w:type="table" w:styleId="TableGrid">
    <w:name w:val="Table Grid"/>
    <w:basedOn w:val="TableNormal"/>
    <w:uiPriority w:val="39"/>
    <w:qFormat/>
    <w:rsid w:val="00A839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Doc-text2"/>
    <w:qFormat/>
    <w:rsid w:val="009375F2"/>
    <w:pPr>
      <w:numPr>
        <w:numId w:val="2"/>
      </w:numPr>
      <w:overflowPunct/>
      <w:autoSpaceDE/>
      <w:autoSpaceDN/>
      <w:adjustRightInd/>
      <w:spacing w:before="60" w:after="0"/>
      <w:jc w:val="left"/>
      <w:textAlignment w:val="auto"/>
    </w:pPr>
    <w:rPr>
      <w:rFonts w:eastAsia="MS Mincho"/>
      <w:b/>
      <w:szCs w:val="24"/>
      <w:lang w:eastAsia="en-GB"/>
    </w:rPr>
  </w:style>
  <w:style w:type="character" w:customStyle="1" w:styleId="ListParagraphChar">
    <w:name w:val="List Paragraph Char"/>
    <w:link w:val="ListParagraph"/>
    <w:uiPriority w:val="34"/>
    <w:qFormat/>
    <w:rsid w:val="00196902"/>
    <w:rPr>
      <w:rFonts w:ascii="Arial" w:hAnsi="Arial"/>
    </w:rPr>
  </w:style>
  <w:style w:type="paragraph" w:customStyle="1" w:styleId="B5">
    <w:name w:val="B5"/>
    <w:basedOn w:val="Normal"/>
    <w:rsid w:val="00020447"/>
    <w:pPr>
      <w:overflowPunct/>
      <w:autoSpaceDE/>
      <w:autoSpaceDN/>
      <w:adjustRightInd/>
      <w:ind w:left="1702" w:hanging="284"/>
      <w:jc w:val="left"/>
      <w:textAlignment w:val="auto"/>
    </w:pPr>
    <w:rPr>
      <w:rFonts w:eastAsia="Malgun Gothic"/>
    </w:rPr>
  </w:style>
  <w:style w:type="paragraph" w:customStyle="1" w:styleId="EQ">
    <w:name w:val="EQ"/>
    <w:basedOn w:val="Normal"/>
    <w:next w:val="Normal"/>
    <w:rsid w:val="00C37E0C"/>
    <w:pPr>
      <w:keepLines/>
      <w:tabs>
        <w:tab w:val="center" w:pos="4536"/>
        <w:tab w:val="right" w:pos="9072"/>
      </w:tabs>
      <w:overflowPunct/>
      <w:autoSpaceDE/>
      <w:autoSpaceDN/>
      <w:adjustRightInd/>
      <w:jc w:val="left"/>
      <w:textAlignment w:val="auto"/>
    </w:pPr>
    <w:rPr>
      <w:rFonts w:eastAsia="Malgun Gothic"/>
      <w:noProof/>
    </w:rPr>
  </w:style>
  <w:style w:type="paragraph" w:customStyle="1" w:styleId="B2">
    <w:name w:val="B2"/>
    <w:basedOn w:val="Normal"/>
    <w:link w:val="B2Char"/>
    <w:rsid w:val="00C37E0C"/>
    <w:pPr>
      <w:overflowPunct/>
      <w:autoSpaceDE/>
      <w:autoSpaceDN/>
      <w:adjustRightInd/>
      <w:ind w:left="851" w:hanging="284"/>
      <w:jc w:val="left"/>
      <w:textAlignment w:val="auto"/>
    </w:pPr>
    <w:rPr>
      <w:rFonts w:eastAsia="Malgun Gothic"/>
    </w:rPr>
  </w:style>
  <w:style w:type="character" w:customStyle="1" w:styleId="B2Char">
    <w:name w:val="B2 Char"/>
    <w:link w:val="B2"/>
    <w:rsid w:val="00C37E0C"/>
    <w:rPr>
      <w:rFonts w:eastAsia="Malgun Gothic"/>
    </w:rPr>
  </w:style>
  <w:style w:type="paragraph" w:customStyle="1" w:styleId="B6">
    <w:name w:val="B6"/>
    <w:basedOn w:val="B5"/>
    <w:rsid w:val="00937C4C"/>
    <w:pPr>
      <w:ind w:left="1985"/>
    </w:pPr>
  </w:style>
  <w:style w:type="paragraph" w:customStyle="1" w:styleId="B7">
    <w:name w:val="B7"/>
    <w:basedOn w:val="B6"/>
    <w:qFormat/>
    <w:rsid w:val="00937C4C"/>
  </w:style>
  <w:style w:type="paragraph" w:customStyle="1" w:styleId="TAL">
    <w:name w:val="TAL"/>
    <w:basedOn w:val="Normal"/>
    <w:link w:val="TALCar"/>
    <w:qFormat/>
    <w:rsid w:val="001456F9"/>
    <w:pPr>
      <w:keepNext/>
      <w:keepLines/>
      <w:spacing w:after="0"/>
      <w:jc w:val="left"/>
    </w:pPr>
    <w:rPr>
      <w:rFonts w:ascii="Arial" w:hAnsi="Arial"/>
      <w:sz w:val="18"/>
      <w:lang w:eastAsia="ja-JP"/>
    </w:rPr>
  </w:style>
  <w:style w:type="character" w:customStyle="1" w:styleId="TALCar">
    <w:name w:val="TAL Car"/>
    <w:link w:val="TAL"/>
    <w:qFormat/>
    <w:rsid w:val="001456F9"/>
    <w:rPr>
      <w:rFonts w:ascii="Arial" w:hAnsi="Arial"/>
      <w:sz w:val="18"/>
      <w:lang w:eastAsia="ja-JP"/>
    </w:rPr>
  </w:style>
  <w:style w:type="character" w:styleId="Hyperlink">
    <w:name w:val="Hyperlink"/>
    <w:basedOn w:val="DefaultParagraphFont"/>
    <w:uiPriority w:val="99"/>
    <w:unhideWhenUsed/>
    <w:rsid w:val="00A143A6"/>
    <w:rPr>
      <w:color w:val="0563C1" w:themeColor="hyperlink"/>
      <w:u w:val="single"/>
    </w:rPr>
  </w:style>
  <w:style w:type="character" w:styleId="FollowedHyperlink">
    <w:name w:val="FollowedHyperlink"/>
    <w:basedOn w:val="DefaultParagraphFont"/>
    <w:uiPriority w:val="99"/>
    <w:semiHidden/>
    <w:unhideWhenUsed/>
    <w:rsid w:val="0052715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5500628">
      <w:bodyDiv w:val="1"/>
      <w:marLeft w:val="0"/>
      <w:marRight w:val="0"/>
      <w:marTop w:val="0"/>
      <w:marBottom w:val="0"/>
      <w:divBdr>
        <w:top w:val="none" w:sz="0" w:space="0" w:color="auto"/>
        <w:left w:val="none" w:sz="0" w:space="0" w:color="auto"/>
        <w:bottom w:val="none" w:sz="0" w:space="0" w:color="auto"/>
        <w:right w:val="none" w:sz="0" w:space="0" w:color="auto"/>
      </w:divBdr>
      <w:divsChild>
        <w:div w:id="125898893">
          <w:marLeft w:val="0"/>
          <w:marRight w:val="0"/>
          <w:marTop w:val="0"/>
          <w:marBottom w:val="0"/>
          <w:divBdr>
            <w:top w:val="none" w:sz="0" w:space="0" w:color="auto"/>
            <w:left w:val="none" w:sz="0" w:space="0" w:color="auto"/>
            <w:bottom w:val="none" w:sz="0" w:space="0" w:color="auto"/>
            <w:right w:val="none" w:sz="0" w:space="0" w:color="auto"/>
          </w:divBdr>
        </w:div>
      </w:divsChild>
    </w:div>
    <w:div w:id="527186297">
      <w:bodyDiv w:val="1"/>
      <w:marLeft w:val="0"/>
      <w:marRight w:val="0"/>
      <w:marTop w:val="0"/>
      <w:marBottom w:val="0"/>
      <w:divBdr>
        <w:top w:val="none" w:sz="0" w:space="0" w:color="auto"/>
        <w:left w:val="none" w:sz="0" w:space="0" w:color="auto"/>
        <w:bottom w:val="none" w:sz="0" w:space="0" w:color="auto"/>
        <w:right w:val="none" w:sz="0" w:space="0" w:color="auto"/>
      </w:divBdr>
    </w:div>
    <w:div w:id="957374655">
      <w:bodyDiv w:val="1"/>
      <w:marLeft w:val="0"/>
      <w:marRight w:val="0"/>
      <w:marTop w:val="0"/>
      <w:marBottom w:val="0"/>
      <w:divBdr>
        <w:top w:val="none" w:sz="0" w:space="0" w:color="auto"/>
        <w:left w:val="none" w:sz="0" w:space="0" w:color="auto"/>
        <w:bottom w:val="none" w:sz="0" w:space="0" w:color="auto"/>
        <w:right w:val="none" w:sz="0" w:space="0" w:color="auto"/>
      </w:divBdr>
      <w:divsChild>
        <w:div w:id="890963876">
          <w:marLeft w:val="432"/>
          <w:marRight w:val="0"/>
          <w:marTop w:val="240"/>
          <w:marBottom w:val="0"/>
          <w:divBdr>
            <w:top w:val="none" w:sz="0" w:space="0" w:color="auto"/>
            <w:left w:val="none" w:sz="0" w:space="0" w:color="auto"/>
            <w:bottom w:val="none" w:sz="0" w:space="0" w:color="auto"/>
            <w:right w:val="none" w:sz="0" w:space="0" w:color="auto"/>
          </w:divBdr>
        </w:div>
        <w:div w:id="2083211534">
          <w:marLeft w:val="432"/>
          <w:marRight w:val="0"/>
          <w:marTop w:val="240"/>
          <w:marBottom w:val="0"/>
          <w:divBdr>
            <w:top w:val="none" w:sz="0" w:space="0" w:color="auto"/>
            <w:left w:val="none" w:sz="0" w:space="0" w:color="auto"/>
            <w:bottom w:val="none" w:sz="0" w:space="0" w:color="auto"/>
            <w:right w:val="none" w:sz="0" w:space="0" w:color="auto"/>
          </w:divBdr>
        </w:div>
        <w:div w:id="1698434634">
          <w:marLeft w:val="432"/>
          <w:marRight w:val="0"/>
          <w:marTop w:val="240"/>
          <w:marBottom w:val="0"/>
          <w:divBdr>
            <w:top w:val="none" w:sz="0" w:space="0" w:color="auto"/>
            <w:left w:val="none" w:sz="0" w:space="0" w:color="auto"/>
            <w:bottom w:val="none" w:sz="0" w:space="0" w:color="auto"/>
            <w:right w:val="none" w:sz="0" w:space="0" w:color="auto"/>
          </w:divBdr>
        </w:div>
      </w:divsChild>
    </w:div>
    <w:div w:id="1450933044">
      <w:bodyDiv w:val="1"/>
      <w:marLeft w:val="0"/>
      <w:marRight w:val="0"/>
      <w:marTop w:val="0"/>
      <w:marBottom w:val="0"/>
      <w:divBdr>
        <w:top w:val="none" w:sz="0" w:space="0" w:color="auto"/>
        <w:left w:val="none" w:sz="0" w:space="0" w:color="auto"/>
        <w:bottom w:val="none" w:sz="0" w:space="0" w:color="auto"/>
        <w:right w:val="none" w:sz="0" w:space="0" w:color="auto"/>
      </w:divBdr>
      <w:divsChild>
        <w:div w:id="1789816999">
          <w:marLeft w:val="432"/>
          <w:marRight w:val="0"/>
          <w:marTop w:val="240"/>
          <w:marBottom w:val="0"/>
          <w:divBdr>
            <w:top w:val="none" w:sz="0" w:space="0" w:color="auto"/>
            <w:left w:val="none" w:sz="0" w:space="0" w:color="auto"/>
            <w:bottom w:val="none" w:sz="0" w:space="0" w:color="auto"/>
            <w:right w:val="none" w:sz="0" w:space="0" w:color="auto"/>
          </w:divBdr>
        </w:div>
      </w:divsChild>
    </w:div>
    <w:div w:id="1549606719">
      <w:bodyDiv w:val="1"/>
      <w:marLeft w:val="0"/>
      <w:marRight w:val="0"/>
      <w:marTop w:val="0"/>
      <w:marBottom w:val="0"/>
      <w:divBdr>
        <w:top w:val="none" w:sz="0" w:space="0" w:color="auto"/>
        <w:left w:val="none" w:sz="0" w:space="0" w:color="auto"/>
        <w:bottom w:val="none" w:sz="0" w:space="0" w:color="auto"/>
        <w:right w:val="none" w:sz="0" w:space="0" w:color="auto"/>
      </w:divBdr>
    </w:div>
    <w:div w:id="1588802700">
      <w:bodyDiv w:val="1"/>
      <w:marLeft w:val="0"/>
      <w:marRight w:val="0"/>
      <w:marTop w:val="0"/>
      <w:marBottom w:val="0"/>
      <w:divBdr>
        <w:top w:val="none" w:sz="0" w:space="0" w:color="auto"/>
        <w:left w:val="none" w:sz="0" w:space="0" w:color="auto"/>
        <w:bottom w:val="none" w:sz="0" w:space="0" w:color="auto"/>
        <w:right w:val="none" w:sz="0" w:space="0" w:color="auto"/>
      </w:divBdr>
      <w:divsChild>
        <w:div w:id="909926101">
          <w:marLeft w:val="432"/>
          <w:marRight w:val="0"/>
          <w:marTop w:val="240"/>
          <w:marBottom w:val="0"/>
          <w:divBdr>
            <w:top w:val="none" w:sz="0" w:space="0" w:color="auto"/>
            <w:left w:val="none" w:sz="0" w:space="0" w:color="auto"/>
            <w:bottom w:val="none" w:sz="0" w:space="0" w:color="auto"/>
            <w:right w:val="none" w:sz="0" w:space="0" w:color="auto"/>
          </w:divBdr>
        </w:div>
        <w:div w:id="1265962525">
          <w:marLeft w:val="432"/>
          <w:marRight w:val="0"/>
          <w:marTop w:val="240"/>
          <w:marBottom w:val="0"/>
          <w:divBdr>
            <w:top w:val="none" w:sz="0" w:space="0" w:color="auto"/>
            <w:left w:val="none" w:sz="0" w:space="0" w:color="auto"/>
            <w:bottom w:val="none" w:sz="0" w:space="0" w:color="auto"/>
            <w:right w:val="none" w:sz="0" w:space="0" w:color="auto"/>
          </w:divBdr>
        </w:div>
        <w:div w:id="924799011">
          <w:marLeft w:val="432"/>
          <w:marRight w:val="0"/>
          <w:marTop w:val="240"/>
          <w:marBottom w:val="0"/>
          <w:divBdr>
            <w:top w:val="none" w:sz="0" w:space="0" w:color="auto"/>
            <w:left w:val="none" w:sz="0" w:space="0" w:color="auto"/>
            <w:bottom w:val="none" w:sz="0" w:space="0" w:color="auto"/>
            <w:right w:val="none" w:sz="0" w:space="0" w:color="auto"/>
          </w:divBdr>
        </w:div>
        <w:div w:id="959339692">
          <w:marLeft w:val="432"/>
          <w:marRight w:val="0"/>
          <w:marTop w:val="240"/>
          <w:marBottom w:val="0"/>
          <w:divBdr>
            <w:top w:val="none" w:sz="0" w:space="0" w:color="auto"/>
            <w:left w:val="none" w:sz="0" w:space="0" w:color="auto"/>
            <w:bottom w:val="none" w:sz="0" w:space="0" w:color="auto"/>
            <w:right w:val="none" w:sz="0" w:space="0" w:color="auto"/>
          </w:divBdr>
        </w:div>
      </w:divsChild>
    </w:div>
    <w:div w:id="1701933615">
      <w:bodyDiv w:val="1"/>
      <w:marLeft w:val="0"/>
      <w:marRight w:val="0"/>
      <w:marTop w:val="0"/>
      <w:marBottom w:val="0"/>
      <w:divBdr>
        <w:top w:val="none" w:sz="0" w:space="0" w:color="auto"/>
        <w:left w:val="none" w:sz="0" w:space="0" w:color="auto"/>
        <w:bottom w:val="none" w:sz="0" w:space="0" w:color="auto"/>
        <w:right w:val="none" w:sz="0" w:space="0" w:color="auto"/>
      </w:divBdr>
    </w:div>
    <w:div w:id="1729572376">
      <w:bodyDiv w:val="1"/>
      <w:marLeft w:val="0"/>
      <w:marRight w:val="0"/>
      <w:marTop w:val="0"/>
      <w:marBottom w:val="0"/>
      <w:divBdr>
        <w:top w:val="none" w:sz="0" w:space="0" w:color="auto"/>
        <w:left w:val="none" w:sz="0" w:space="0" w:color="auto"/>
        <w:bottom w:val="none" w:sz="0" w:space="0" w:color="auto"/>
        <w:right w:val="none" w:sz="0" w:space="0" w:color="auto"/>
      </w:divBdr>
      <w:divsChild>
        <w:div w:id="1117334592">
          <w:marLeft w:val="432"/>
          <w:marRight w:val="0"/>
          <w:marTop w:val="240"/>
          <w:marBottom w:val="0"/>
          <w:divBdr>
            <w:top w:val="none" w:sz="0" w:space="0" w:color="auto"/>
            <w:left w:val="none" w:sz="0" w:space="0" w:color="auto"/>
            <w:bottom w:val="none" w:sz="0" w:space="0" w:color="auto"/>
            <w:right w:val="none" w:sz="0" w:space="0" w:color="auto"/>
          </w:divBdr>
        </w:div>
        <w:div w:id="2071682504">
          <w:marLeft w:val="432"/>
          <w:marRight w:val="0"/>
          <w:marTop w:val="240"/>
          <w:marBottom w:val="0"/>
          <w:divBdr>
            <w:top w:val="none" w:sz="0" w:space="0" w:color="auto"/>
            <w:left w:val="none" w:sz="0" w:space="0" w:color="auto"/>
            <w:bottom w:val="none" w:sz="0" w:space="0" w:color="auto"/>
            <w:right w:val="none" w:sz="0" w:space="0" w:color="auto"/>
          </w:divBdr>
        </w:div>
        <w:div w:id="1588732092">
          <w:marLeft w:val="432"/>
          <w:marRight w:val="0"/>
          <w:marTop w:val="240"/>
          <w:marBottom w:val="0"/>
          <w:divBdr>
            <w:top w:val="none" w:sz="0" w:space="0" w:color="auto"/>
            <w:left w:val="none" w:sz="0" w:space="0" w:color="auto"/>
            <w:bottom w:val="none" w:sz="0" w:space="0" w:color="auto"/>
            <w:right w:val="none" w:sz="0" w:space="0" w:color="auto"/>
          </w:divBdr>
        </w:div>
      </w:divsChild>
    </w:div>
    <w:div w:id="2013295088">
      <w:bodyDiv w:val="1"/>
      <w:marLeft w:val="0"/>
      <w:marRight w:val="0"/>
      <w:marTop w:val="0"/>
      <w:marBottom w:val="0"/>
      <w:divBdr>
        <w:top w:val="none" w:sz="0" w:space="0" w:color="auto"/>
        <w:left w:val="none" w:sz="0" w:space="0" w:color="auto"/>
        <w:bottom w:val="none" w:sz="0" w:space="0" w:color="auto"/>
        <w:right w:val="none" w:sz="0" w:space="0" w:color="auto"/>
      </w:divBdr>
      <w:divsChild>
        <w:div w:id="1512404181">
          <w:marLeft w:val="432"/>
          <w:marRight w:val="0"/>
          <w:marTop w:val="240"/>
          <w:marBottom w:val="0"/>
          <w:divBdr>
            <w:top w:val="none" w:sz="0" w:space="0" w:color="auto"/>
            <w:left w:val="none" w:sz="0" w:space="0" w:color="auto"/>
            <w:bottom w:val="none" w:sz="0" w:space="0" w:color="auto"/>
            <w:right w:val="none" w:sz="0" w:space="0" w:color="auto"/>
          </w:divBdr>
        </w:div>
        <w:div w:id="790317478">
          <w:marLeft w:val="1267"/>
          <w:marRight w:val="0"/>
          <w:marTop w:val="180"/>
          <w:marBottom w:val="0"/>
          <w:divBdr>
            <w:top w:val="none" w:sz="0" w:space="0" w:color="auto"/>
            <w:left w:val="none" w:sz="0" w:space="0" w:color="auto"/>
            <w:bottom w:val="none" w:sz="0" w:space="0" w:color="auto"/>
            <w:right w:val="none" w:sz="0" w:space="0" w:color="auto"/>
          </w:divBdr>
        </w:div>
        <w:div w:id="2034113758">
          <w:marLeft w:val="432"/>
          <w:marRight w:val="0"/>
          <w:marTop w:val="240"/>
          <w:marBottom w:val="0"/>
          <w:divBdr>
            <w:top w:val="none" w:sz="0" w:space="0" w:color="auto"/>
            <w:left w:val="none" w:sz="0" w:space="0" w:color="auto"/>
            <w:bottom w:val="none" w:sz="0" w:space="0" w:color="auto"/>
            <w:right w:val="none" w:sz="0" w:space="0" w:color="auto"/>
          </w:divBdr>
        </w:div>
        <w:div w:id="2076858048">
          <w:marLeft w:val="432"/>
          <w:marRight w:val="0"/>
          <w:marTop w:val="240"/>
          <w:marBottom w:val="0"/>
          <w:divBdr>
            <w:top w:val="none" w:sz="0" w:space="0" w:color="auto"/>
            <w:left w:val="none" w:sz="0" w:space="0" w:color="auto"/>
            <w:bottom w:val="none" w:sz="0" w:space="0" w:color="auto"/>
            <w:right w:val="none" w:sz="0" w:space="0" w:color="auto"/>
          </w:divBdr>
        </w:div>
        <w:div w:id="37706334">
          <w:marLeft w:val="1267"/>
          <w:marRight w:val="0"/>
          <w:marTop w:val="180"/>
          <w:marBottom w:val="0"/>
          <w:divBdr>
            <w:top w:val="none" w:sz="0" w:space="0" w:color="auto"/>
            <w:left w:val="none" w:sz="0" w:space="0" w:color="auto"/>
            <w:bottom w:val="none" w:sz="0" w:space="0" w:color="auto"/>
            <w:right w:val="none" w:sz="0" w:space="0" w:color="auto"/>
          </w:divBdr>
        </w:div>
        <w:div w:id="260721843">
          <w:marLeft w:val="1267"/>
          <w:marRight w:val="0"/>
          <w:marTop w:val="180"/>
          <w:marBottom w:val="0"/>
          <w:divBdr>
            <w:top w:val="none" w:sz="0" w:space="0" w:color="auto"/>
            <w:left w:val="none" w:sz="0" w:space="0" w:color="auto"/>
            <w:bottom w:val="none" w:sz="0" w:space="0" w:color="auto"/>
            <w:right w:val="none" w:sz="0" w:space="0" w:color="auto"/>
          </w:divBdr>
        </w:div>
        <w:div w:id="104543994">
          <w:marLeft w:val="432"/>
          <w:marRight w:val="0"/>
          <w:marTop w:val="240"/>
          <w:marBottom w:val="0"/>
          <w:divBdr>
            <w:top w:val="none" w:sz="0" w:space="0" w:color="auto"/>
            <w:left w:val="none" w:sz="0" w:space="0" w:color="auto"/>
            <w:bottom w:val="none" w:sz="0" w:space="0" w:color="auto"/>
            <w:right w:val="none" w:sz="0" w:space="0" w:color="auto"/>
          </w:divBdr>
        </w:div>
        <w:div w:id="1729837106">
          <w:marLeft w:val="1267"/>
          <w:marRight w:val="0"/>
          <w:marTop w:val="18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1.vsdx"/><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package" Target="embeddings/Microsoft_Visio_Drawing3.vsdx"/><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package" Target="embeddings/Microsoft_Visio_Drawing2.vsdx"/><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1512</Words>
  <Characters>8624</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2020-08-06T08:48:00Z</dcterms:created>
  <dcterms:modified xsi:type="dcterms:W3CDTF">2020-08-06T16:00:00Z</dcterms:modified>
</cp:coreProperties>
</file>